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方正小标宋简体"/>
          <w:bCs/>
          <w:sz w:val="44"/>
          <w:szCs w:val="44"/>
          <w:lang w:val="en"/>
        </w:rPr>
      </w:pPr>
      <w:r>
        <w:rPr>
          <w:rFonts w:eastAsia="方正小标宋简体"/>
          <w:bCs/>
          <w:sz w:val="44"/>
          <w:szCs w:val="44"/>
          <w:lang w:val="en"/>
        </w:rPr>
        <w:t>内蒙古自治区水利建设基金</w:t>
      </w:r>
      <w:bookmarkStart w:id="0" w:name="_GoBack"/>
      <w:bookmarkEnd w:id="0"/>
      <w:r>
        <w:rPr>
          <w:rFonts w:eastAsia="方正小标宋简体"/>
          <w:bCs/>
          <w:sz w:val="44"/>
          <w:szCs w:val="44"/>
          <w:lang w:val="en"/>
        </w:rPr>
        <w:t>筹集和</w:t>
      </w:r>
    </w:p>
    <w:p>
      <w:pPr>
        <w:spacing w:line="580" w:lineRule="exact"/>
        <w:jc w:val="center"/>
        <w:rPr>
          <w:rFonts w:eastAsia="方正小标宋简体"/>
          <w:bCs/>
          <w:sz w:val="44"/>
          <w:szCs w:val="44"/>
          <w:lang w:val="en"/>
        </w:rPr>
      </w:pPr>
      <w:r>
        <w:rPr>
          <w:rFonts w:eastAsia="方正小标宋简体"/>
          <w:bCs/>
          <w:sz w:val="44"/>
          <w:szCs w:val="44"/>
          <w:lang w:val="en"/>
        </w:rPr>
        <w:t>使用管理实施细则</w:t>
      </w:r>
    </w:p>
    <w:p>
      <w:pPr>
        <w:spacing w:line="580" w:lineRule="exact"/>
        <w:ind w:firstLine="640" w:firstLineChars="200"/>
        <w:rPr>
          <w:rFonts w:eastAsia="仿宋_GB2312"/>
          <w:color w:val="333333"/>
          <w:sz w:val="32"/>
          <w:szCs w:val="32"/>
          <w:lang w:val="en"/>
        </w:rPr>
      </w:pPr>
    </w:p>
    <w:p>
      <w:pPr>
        <w:shd w:val="clear" w:color="auto" w:fill="FFFFFF"/>
        <w:spacing w:line="580" w:lineRule="exact"/>
        <w:rPr>
          <w:rFonts w:hint="eastAsia" w:ascii="仿宋_GB2312" w:eastAsia="仿宋_GB2312"/>
          <w:color w:val="000000"/>
          <w:sz w:val="32"/>
          <w:szCs w:val="32"/>
          <w:shd w:val="clear" w:color="auto" w:fill="FFFFFF"/>
        </w:rPr>
      </w:pPr>
      <w:r>
        <w:rPr>
          <w:rFonts w:eastAsia="仿宋_GB2312"/>
          <w:sz w:val="32"/>
          <w:szCs w:val="32"/>
        </w:rPr>
        <w:t xml:space="preserve">    </w:t>
      </w:r>
      <w:r>
        <w:rPr>
          <w:rFonts w:eastAsia="楷体_GB2312"/>
          <w:b/>
          <w:sz w:val="32"/>
          <w:szCs w:val="32"/>
        </w:rPr>
        <w:t>第一条</w:t>
      </w:r>
      <w:r>
        <w:rPr>
          <w:rFonts w:eastAsia="仿宋_GB2312"/>
          <w:sz w:val="32"/>
          <w:szCs w:val="32"/>
        </w:rPr>
        <w:t xml:space="preserve"> </w:t>
      </w:r>
      <w:r>
        <w:rPr>
          <w:rFonts w:hint="eastAsia" w:ascii="仿宋_GB2312" w:eastAsia="仿宋_GB2312"/>
          <w:color w:val="000000"/>
          <w:sz w:val="32"/>
          <w:szCs w:val="32"/>
          <w:shd w:val="clear" w:color="auto" w:fill="FFFFFF"/>
        </w:rPr>
        <w:t>为加快自治区水利建设，促进经济社会可持续发展，</w:t>
      </w:r>
      <w:r>
        <w:rPr>
          <w:rFonts w:hint="eastAsia" w:ascii="仿宋_GB2312" w:eastAsia="仿宋_GB2312"/>
          <w:color w:val="000000"/>
          <w:sz w:val="32"/>
          <w:szCs w:val="32"/>
          <w:lang w:val="zh-CN"/>
        </w:rPr>
        <w:t>根据</w:t>
      </w:r>
      <w:r>
        <w:rPr>
          <w:rFonts w:hint="eastAsia" w:ascii="仿宋_GB2312" w:hAnsi="Times New Roman" w:eastAsia="仿宋_GB2312"/>
          <w:color w:val="000000"/>
          <w:sz w:val="32"/>
          <w:szCs w:val="32"/>
          <w:lang w:val="zh-CN"/>
        </w:rPr>
        <w:t>《内蒙古自治区人民政府关于印发自治区水利建设基金筹集和使用管理实施细则的通知》（内政发〔2012〕41号）、《财政部关于完善政府预算体系有关问题的通知》（财预〔2014〕368号）、</w:t>
      </w:r>
      <w:r>
        <w:rPr>
          <w:rFonts w:hint="eastAsia" w:ascii="仿宋_GB2312" w:eastAsia="仿宋_GB2312"/>
          <w:color w:val="000000"/>
          <w:sz w:val="32"/>
          <w:szCs w:val="32"/>
          <w:lang w:val="zh-CN"/>
        </w:rPr>
        <w:t>《</w:t>
      </w:r>
      <w:r>
        <w:rPr>
          <w:rFonts w:hint="eastAsia" w:ascii="仿宋_GB2312" w:eastAsia="仿宋_GB2312"/>
          <w:sz w:val="32"/>
          <w:szCs w:val="32"/>
        </w:rPr>
        <w:t>财政部关于民航发展基金等3项政府性基金有关政策的通知</w:t>
      </w:r>
      <w:r>
        <w:rPr>
          <w:rFonts w:hint="eastAsia" w:ascii="仿宋_GB2312" w:eastAsia="仿宋_GB2312"/>
          <w:color w:val="000000"/>
          <w:sz w:val="32"/>
          <w:szCs w:val="32"/>
          <w:lang w:val="zh-CN"/>
        </w:rPr>
        <w:t>》（财税〔2020〕72号）要求，结合国家减税降费精神和</w:t>
      </w:r>
      <w:r>
        <w:rPr>
          <w:rFonts w:hint="eastAsia" w:ascii="仿宋_GB2312" w:eastAsia="仿宋_GB2312"/>
          <w:color w:val="000000"/>
          <w:sz w:val="32"/>
          <w:szCs w:val="32"/>
          <w:shd w:val="clear" w:color="auto" w:fill="FFFFFF"/>
        </w:rPr>
        <w:t>我区实际，制定本实施细则。</w:t>
      </w:r>
    </w:p>
    <w:p>
      <w:pPr>
        <w:shd w:val="clear" w:color="auto" w:fill="FFFFFF"/>
        <w:spacing w:line="580" w:lineRule="exact"/>
        <w:ind w:firstLine="643" w:firstLineChars="200"/>
        <w:jc w:val="left"/>
        <w:rPr>
          <w:rFonts w:hint="eastAsia" w:ascii="仿宋_GB2312" w:eastAsia="仿宋_GB2312"/>
          <w:sz w:val="32"/>
          <w:szCs w:val="32"/>
        </w:rPr>
      </w:pPr>
      <w:r>
        <w:rPr>
          <w:rFonts w:eastAsia="楷体_GB2312"/>
          <w:b/>
          <w:sz w:val="32"/>
          <w:szCs w:val="32"/>
        </w:rPr>
        <w:t>第二条</w:t>
      </w:r>
      <w:r>
        <w:rPr>
          <w:rFonts w:hint="eastAsia" w:eastAsia="仿宋_GB2312"/>
          <w:sz w:val="32"/>
          <w:szCs w:val="32"/>
        </w:rPr>
        <w:t xml:space="preserve"> </w:t>
      </w:r>
      <w:r>
        <w:rPr>
          <w:rFonts w:hint="eastAsia" w:ascii="仿宋_GB2312" w:hAnsi="Times New Roman" w:eastAsia="仿宋_GB2312"/>
          <w:color w:val="000000"/>
          <w:sz w:val="32"/>
          <w:szCs w:val="32"/>
        </w:rPr>
        <w:t>2021年1月1日至2021年12月31日,</w:t>
      </w:r>
      <w:r>
        <w:rPr>
          <w:rFonts w:hint="eastAsia" w:ascii="仿宋_GB2312" w:eastAsia="仿宋_GB2312"/>
          <w:color w:val="000000"/>
          <w:sz w:val="32"/>
          <w:szCs w:val="32"/>
        </w:rPr>
        <w:t>凡有销售收入或营业收入的企业、事业单位及个体经营者，按上月销售收入或营业收入的1‰计征，其中，银行（含信用社）按上年利息收入的0.6‰计征，利息收入不含金融机构往来收入；保险公司一年期以上返还本利的人身保险业务免征地方水利建设基金，其他按上年保费收入的0.6‰计征；各类信托投资公司、财务公司等非银行金融机构按上年业务收入的1‰计征。</w:t>
      </w:r>
    </w:p>
    <w:p>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Times New Roman" w:eastAsia="仿宋_GB2312"/>
          <w:color w:val="000000"/>
          <w:sz w:val="32"/>
          <w:szCs w:val="32"/>
        </w:rPr>
        <w:t>2022年1月1日起，</w:t>
      </w:r>
      <w:r>
        <w:rPr>
          <w:rFonts w:hint="eastAsia" w:ascii="仿宋_GB2312" w:eastAsia="仿宋_GB2312"/>
          <w:color w:val="000000"/>
          <w:sz w:val="32"/>
          <w:szCs w:val="32"/>
        </w:rPr>
        <w:t>自治区行政区域内</w:t>
      </w:r>
      <w:r>
        <w:rPr>
          <w:rFonts w:hint="eastAsia" w:ascii="仿宋_GB2312" w:hAnsi="微软雅黑" w:eastAsia="仿宋_GB2312" w:cs="宋体"/>
          <w:color w:val="000000"/>
          <w:kern w:val="0"/>
          <w:sz w:val="32"/>
          <w:szCs w:val="32"/>
        </w:rPr>
        <w:t>以纳税人依法实际缴纳的增值税、消费税税额（以下简称两税税额）为计费依据，</w:t>
      </w:r>
      <w:r>
        <w:rPr>
          <w:rFonts w:hint="eastAsia" w:ascii="仿宋_GB2312" w:eastAsia="仿宋_GB2312"/>
          <w:color w:val="000000"/>
          <w:sz w:val="32"/>
          <w:szCs w:val="32"/>
        </w:rPr>
        <w:t>乘以具体适用费率计征地方水利建设基金，</w:t>
      </w:r>
      <w:r>
        <w:rPr>
          <w:rFonts w:hint="eastAsia" w:ascii="仿宋_GB2312" w:hAnsi="仿宋_GB2312" w:eastAsia="仿宋_GB2312" w:cs="仿宋_GB2312"/>
          <w:color w:val="000000"/>
          <w:sz w:val="32"/>
          <w:szCs w:val="32"/>
          <w:lang w:val="zh-CN"/>
        </w:rPr>
        <w:t>与增值税、消费税同时缴纳</w:t>
      </w:r>
      <w:r>
        <w:rPr>
          <w:rFonts w:hint="eastAsia" w:ascii="仿宋_GB2312" w:eastAsia="仿宋_GB2312"/>
          <w:color w:val="000000"/>
          <w:sz w:val="32"/>
          <w:szCs w:val="32"/>
        </w:rPr>
        <w:t>。其中，2022年具体适用费率为1%；2023年起具体适用费率为0.5%。</w:t>
      </w:r>
    </w:p>
    <w:p>
      <w:pPr>
        <w:widowControl/>
        <w:shd w:val="clear" w:color="auto" w:fill="FFFFFF"/>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依法实际缴纳的两税税额，是指纳税人依照增值税、消费税相关法律法规和税收政策规定计算的应当缴纳的两税税额（不含因进口货物或境外单位和个人向境内销售劳务、服务、无形资产缴纳的两税税额），加上增值税免抵税额，扣除直接减免的两税税额和期末留抵退税退还的增值税税额后的金额。</w:t>
      </w:r>
    </w:p>
    <w:p>
      <w:pPr>
        <w:spacing w:line="58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微软雅黑" w:eastAsia="仿宋_GB2312" w:cs="宋体"/>
          <w:color w:val="000000"/>
          <w:kern w:val="0"/>
          <w:sz w:val="32"/>
          <w:szCs w:val="32"/>
        </w:rPr>
        <w:t>直接减免的两税税额，是指依照增值税、消费税相关法律法规和税收政策规定，直接减征或免征的两税税额，不包括实行先征后返、先征后退、即征即退办法退还的两税税额。</w:t>
      </w:r>
      <w:r>
        <w:rPr>
          <w:rFonts w:hint="eastAsia" w:ascii="仿宋_GB2312" w:hAnsi="仿宋_GB2312" w:eastAsia="仿宋_GB2312" w:cs="仿宋_GB2312"/>
          <w:color w:val="000000"/>
          <w:sz w:val="32"/>
          <w:szCs w:val="32"/>
          <w:lang w:val="zh-CN"/>
        </w:rPr>
        <w:t>对出口产品退还增值税、消费税的，不退还已征的地方水利建设基金。</w:t>
      </w:r>
    </w:p>
    <w:p>
      <w:pPr>
        <w:spacing w:line="580" w:lineRule="exact"/>
        <w:ind w:firstLine="643" w:firstLineChars="200"/>
        <w:rPr>
          <w:rFonts w:hint="eastAsia" w:ascii="仿宋_GB2312" w:hAnsi="仿宋_GB2312" w:eastAsia="仿宋_GB2312" w:cs="仿宋_GB2312"/>
          <w:color w:val="000000"/>
          <w:sz w:val="32"/>
          <w:szCs w:val="32"/>
        </w:rPr>
      </w:pPr>
      <w:r>
        <w:rPr>
          <w:rFonts w:hint="eastAsia" w:eastAsia="楷体_GB2312"/>
          <w:b/>
          <w:sz w:val="32"/>
          <w:szCs w:val="32"/>
          <w:lang w:val="zh-CN"/>
        </w:rPr>
        <w:t>第三条</w:t>
      </w:r>
      <w:r>
        <w:rPr>
          <w:rFonts w:hint="eastAsia" w:ascii="仿宋_GB2312" w:hAnsi="仿宋_GB2312" w:eastAsia="仿宋_GB2312" w:cs="仿宋_GB2312"/>
          <w:color w:val="000000"/>
          <w:sz w:val="32"/>
          <w:szCs w:val="32"/>
        </w:rPr>
        <w:t xml:space="preserve"> 缴费人跨地区提供建筑服务、销售和出租不动产的（包括跨盟市和在自治区内预缴的区外缴费人），应在建筑服务发生地、不动产所在地预缴增值税时，以预缴增值税税额为计费依据，乘以适用费率缴纳地方水利建设基金。</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预缴增值税的缴费人在其机构所在地申报缴纳增值税时（包括跨盟市和在自治区外预缴的区内缴费人），以其实际缴纳的两税税额为计费依据，乘以适用费率缴纳地方水利建设基金。</w:t>
      </w:r>
    </w:p>
    <w:p>
      <w:pPr>
        <w:shd w:val="clear" w:color="auto" w:fill="FFFFFF"/>
        <w:spacing w:line="580" w:lineRule="exact"/>
        <w:ind w:firstLine="630" w:firstLineChars="196"/>
        <w:jc w:val="left"/>
        <w:rPr>
          <w:rFonts w:hint="eastAsia" w:eastAsia="仿宋_GB2312"/>
          <w:sz w:val="32"/>
          <w:szCs w:val="32"/>
        </w:rPr>
      </w:pPr>
      <w:r>
        <w:rPr>
          <w:rFonts w:eastAsia="楷体_GB2312"/>
          <w:b/>
          <w:sz w:val="32"/>
          <w:szCs w:val="32"/>
        </w:rPr>
        <w:t>第</w:t>
      </w:r>
      <w:r>
        <w:rPr>
          <w:rFonts w:hint="eastAsia" w:eastAsia="楷体_GB2312"/>
          <w:b/>
          <w:sz w:val="32"/>
          <w:szCs w:val="32"/>
        </w:rPr>
        <w:t>四</w:t>
      </w:r>
      <w:r>
        <w:rPr>
          <w:rFonts w:eastAsia="楷体_GB2312"/>
          <w:b/>
          <w:sz w:val="32"/>
          <w:szCs w:val="32"/>
        </w:rPr>
        <w:t>条</w:t>
      </w:r>
      <w:r>
        <w:rPr>
          <w:rFonts w:hint="eastAsia" w:eastAsia="仿宋_GB2312"/>
          <w:sz w:val="32"/>
          <w:szCs w:val="32"/>
        </w:rPr>
        <w:t xml:space="preserve"> </w:t>
      </w:r>
      <w:r>
        <w:rPr>
          <w:rFonts w:eastAsia="仿宋_GB2312"/>
          <w:sz w:val="32"/>
          <w:szCs w:val="32"/>
        </w:rPr>
        <w:t>税务机关负责征收</w:t>
      </w:r>
      <w:r>
        <w:rPr>
          <w:rFonts w:eastAsia="仿宋_GB2312"/>
          <w:color w:val="000000"/>
          <w:sz w:val="32"/>
          <w:szCs w:val="32"/>
        </w:rPr>
        <w:t>地方</w:t>
      </w:r>
      <w:r>
        <w:rPr>
          <w:rFonts w:eastAsia="仿宋_GB2312"/>
          <w:sz w:val="32"/>
          <w:szCs w:val="32"/>
        </w:rPr>
        <w:t>水利建设基金，</w:t>
      </w:r>
      <w:r>
        <w:rPr>
          <w:rFonts w:hint="eastAsia" w:eastAsia="仿宋_GB2312"/>
          <w:sz w:val="32"/>
          <w:szCs w:val="32"/>
        </w:rPr>
        <w:t>征收时</w:t>
      </w:r>
      <w:r>
        <w:rPr>
          <w:rFonts w:eastAsia="仿宋_GB2312"/>
          <w:sz w:val="32"/>
          <w:szCs w:val="32"/>
        </w:rPr>
        <w:t>使用</w:t>
      </w:r>
      <w:r>
        <w:rPr>
          <w:rFonts w:hint="eastAsia" w:eastAsia="仿宋_GB2312"/>
          <w:sz w:val="32"/>
          <w:szCs w:val="32"/>
        </w:rPr>
        <w:t>《非税收入通用申报表》，收入全额</w:t>
      </w:r>
      <w:r>
        <w:rPr>
          <w:rFonts w:eastAsia="仿宋_GB2312"/>
          <w:sz w:val="32"/>
          <w:szCs w:val="32"/>
        </w:rPr>
        <w:t>缴入自治区</w:t>
      </w:r>
      <w:r>
        <w:rPr>
          <w:rFonts w:hint="eastAsia" w:eastAsia="仿宋_GB2312"/>
          <w:sz w:val="32"/>
          <w:szCs w:val="32"/>
        </w:rPr>
        <w:t>本</w:t>
      </w:r>
      <w:r>
        <w:rPr>
          <w:rFonts w:eastAsia="仿宋_GB2312"/>
          <w:sz w:val="32"/>
          <w:szCs w:val="32"/>
        </w:rPr>
        <w:t>级国库。</w:t>
      </w:r>
    </w:p>
    <w:p>
      <w:pPr>
        <w:shd w:val="clear" w:color="auto" w:fill="FFFFFF"/>
        <w:spacing w:line="580" w:lineRule="exact"/>
        <w:ind w:firstLine="643" w:firstLineChars="200"/>
        <w:jc w:val="left"/>
        <w:rPr>
          <w:rFonts w:hint="eastAsia" w:eastAsia="仿宋_GB2312"/>
          <w:color w:val="000000"/>
          <w:sz w:val="32"/>
          <w:szCs w:val="32"/>
        </w:rPr>
      </w:pPr>
      <w:r>
        <w:rPr>
          <w:rFonts w:hint="eastAsia" w:ascii="楷体_GB2312" w:eastAsia="楷体_GB2312"/>
          <w:b/>
          <w:color w:val="000000"/>
          <w:sz w:val="32"/>
          <w:szCs w:val="32"/>
        </w:rPr>
        <w:t>第五条</w:t>
      </w:r>
      <w:r>
        <w:rPr>
          <w:rFonts w:hint="eastAsia" w:eastAsia="仿宋_GB2312"/>
          <w:color w:val="000000"/>
          <w:sz w:val="32"/>
          <w:szCs w:val="32"/>
        </w:rPr>
        <w:t xml:space="preserve"> </w:t>
      </w:r>
      <w:r>
        <w:rPr>
          <w:rFonts w:eastAsia="仿宋_GB2312"/>
          <w:color w:val="000000"/>
          <w:sz w:val="32"/>
          <w:szCs w:val="32"/>
        </w:rPr>
        <w:t>地方水利建设基金缴费期限随缴费人缴纳增值税、消费税规定执行</w:t>
      </w:r>
      <w:r>
        <w:rPr>
          <w:rFonts w:hint="eastAsia" w:eastAsia="仿宋_GB2312"/>
          <w:color w:val="000000"/>
          <w:sz w:val="32"/>
          <w:szCs w:val="32"/>
        </w:rPr>
        <w:t>。</w:t>
      </w:r>
    </w:p>
    <w:p>
      <w:pPr>
        <w:shd w:val="clear" w:color="auto" w:fill="FFFFFF"/>
        <w:spacing w:line="580" w:lineRule="exact"/>
        <w:ind w:firstLine="643" w:firstLineChars="200"/>
        <w:jc w:val="left"/>
        <w:rPr>
          <w:rFonts w:hint="eastAsia" w:eastAsia="仿宋_GB2312"/>
          <w:color w:val="000000"/>
          <w:sz w:val="32"/>
          <w:szCs w:val="32"/>
        </w:rPr>
      </w:pPr>
      <w:r>
        <w:rPr>
          <w:rFonts w:hint="eastAsia" w:ascii="楷体_GB2312" w:eastAsia="楷体_GB2312"/>
          <w:b/>
          <w:color w:val="000000"/>
          <w:sz w:val="32"/>
          <w:szCs w:val="32"/>
        </w:rPr>
        <w:t>第六条</w:t>
      </w:r>
      <w:r>
        <w:rPr>
          <w:rFonts w:hint="eastAsia" w:eastAsia="仿宋_GB2312"/>
          <w:color w:val="000000"/>
          <w:sz w:val="32"/>
          <w:szCs w:val="32"/>
        </w:rPr>
        <w:t xml:space="preserve"> </w:t>
      </w:r>
      <w:r>
        <w:rPr>
          <w:rFonts w:hint="eastAsia" w:ascii="仿宋_GB2312" w:hAnsi="仿宋_GB2312" w:eastAsia="仿宋_GB2312" w:cs="仿宋_GB2312"/>
          <w:color w:val="000000"/>
          <w:sz w:val="32"/>
          <w:szCs w:val="32"/>
          <w:lang w:val="zh-CN"/>
        </w:rPr>
        <w:t>缴费人需要汇总缴纳地方水利建设基金的，应当与汇总缴纳增值税时一并进行。</w:t>
      </w:r>
    </w:p>
    <w:p>
      <w:pPr>
        <w:shd w:val="clear" w:color="auto" w:fill="FFFFFF"/>
        <w:spacing w:line="580" w:lineRule="exact"/>
        <w:ind w:firstLine="643" w:firstLineChars="200"/>
        <w:jc w:val="left"/>
        <w:rPr>
          <w:rFonts w:hint="eastAsia" w:eastAsia="仿宋_GB2312"/>
          <w:sz w:val="32"/>
          <w:szCs w:val="32"/>
        </w:rPr>
      </w:pPr>
      <w:r>
        <w:rPr>
          <w:rFonts w:eastAsia="楷体_GB2312"/>
          <w:b/>
          <w:sz w:val="32"/>
          <w:szCs w:val="32"/>
        </w:rPr>
        <w:t>第</w:t>
      </w:r>
      <w:r>
        <w:rPr>
          <w:rFonts w:hint="eastAsia" w:eastAsia="楷体_GB2312"/>
          <w:b/>
          <w:sz w:val="32"/>
          <w:szCs w:val="32"/>
        </w:rPr>
        <w:t>七</w:t>
      </w:r>
      <w:r>
        <w:rPr>
          <w:rFonts w:eastAsia="楷体_GB2312"/>
          <w:b/>
          <w:sz w:val="32"/>
          <w:szCs w:val="32"/>
        </w:rPr>
        <w:t>条</w:t>
      </w:r>
      <w:r>
        <w:rPr>
          <w:rFonts w:hint="eastAsia" w:eastAsia="楷体_GB2312"/>
          <w:b/>
          <w:sz w:val="32"/>
          <w:szCs w:val="32"/>
        </w:rPr>
        <w:t xml:space="preserve"> </w:t>
      </w:r>
      <w:r>
        <w:rPr>
          <w:rFonts w:eastAsia="仿宋_GB2312"/>
          <w:sz w:val="32"/>
          <w:szCs w:val="32"/>
        </w:rPr>
        <w:t>地方水利建设基金收支纳入</w:t>
      </w:r>
      <w:r>
        <w:rPr>
          <w:rFonts w:hint="eastAsia" w:eastAsia="仿宋_GB2312"/>
          <w:sz w:val="32"/>
          <w:szCs w:val="32"/>
        </w:rPr>
        <w:t>一般公共预算</w:t>
      </w:r>
      <w:r>
        <w:rPr>
          <w:rFonts w:eastAsia="仿宋_GB2312"/>
          <w:sz w:val="32"/>
          <w:szCs w:val="32"/>
        </w:rPr>
        <w:t>管理</w:t>
      </w:r>
      <w:r>
        <w:rPr>
          <w:rFonts w:hint="eastAsia" w:eastAsia="仿宋_GB2312"/>
          <w:sz w:val="32"/>
          <w:szCs w:val="32"/>
        </w:rPr>
        <w:t>，统筹安排</w:t>
      </w:r>
      <w:r>
        <w:rPr>
          <w:rFonts w:eastAsia="仿宋_GB2312"/>
          <w:sz w:val="32"/>
          <w:szCs w:val="32"/>
        </w:rPr>
        <w:t>用于地方水利工程项目建设</w:t>
      </w:r>
      <w:r>
        <w:rPr>
          <w:rFonts w:hint="eastAsia" w:eastAsia="仿宋_GB2312"/>
          <w:sz w:val="32"/>
          <w:szCs w:val="32"/>
        </w:rPr>
        <w:t>等。</w:t>
      </w:r>
    </w:p>
    <w:p>
      <w:pPr>
        <w:shd w:val="clear" w:color="auto" w:fill="FFFFFF"/>
        <w:spacing w:line="580" w:lineRule="exact"/>
        <w:ind w:firstLine="643" w:firstLineChars="200"/>
        <w:jc w:val="left"/>
        <w:rPr>
          <w:rFonts w:eastAsia="仿宋_GB2312"/>
          <w:sz w:val="32"/>
          <w:szCs w:val="32"/>
        </w:rPr>
      </w:pPr>
      <w:r>
        <w:rPr>
          <w:rFonts w:eastAsia="楷体_GB2312"/>
          <w:b/>
          <w:sz w:val="32"/>
          <w:szCs w:val="32"/>
        </w:rPr>
        <w:t>第</w:t>
      </w:r>
      <w:r>
        <w:rPr>
          <w:rFonts w:hint="eastAsia" w:eastAsia="楷体_GB2312"/>
          <w:b/>
          <w:sz w:val="32"/>
          <w:szCs w:val="32"/>
        </w:rPr>
        <w:t>八</w:t>
      </w:r>
      <w:r>
        <w:rPr>
          <w:rFonts w:eastAsia="楷体_GB2312"/>
          <w:b/>
          <w:sz w:val="32"/>
          <w:szCs w:val="32"/>
        </w:rPr>
        <w:t xml:space="preserve">条 </w:t>
      </w:r>
      <w:r>
        <w:rPr>
          <w:rFonts w:hint="eastAsia" w:ascii="仿宋_GB2312" w:eastAsia="仿宋_GB2312"/>
          <w:sz w:val="32"/>
          <w:szCs w:val="32"/>
        </w:rPr>
        <w:t>自治区</w:t>
      </w:r>
      <w:r>
        <w:rPr>
          <w:rFonts w:eastAsia="仿宋_GB2312"/>
          <w:sz w:val="32"/>
          <w:szCs w:val="32"/>
        </w:rPr>
        <w:t>财政</w:t>
      </w:r>
      <w:r>
        <w:rPr>
          <w:rFonts w:hint="eastAsia" w:eastAsia="仿宋_GB2312"/>
          <w:sz w:val="32"/>
          <w:szCs w:val="32"/>
        </w:rPr>
        <w:t>厅负责</w:t>
      </w:r>
      <w:r>
        <w:rPr>
          <w:rFonts w:eastAsia="仿宋_GB2312"/>
          <w:sz w:val="32"/>
          <w:szCs w:val="32"/>
        </w:rPr>
        <w:t>地方水利建设基金的征收、</w:t>
      </w:r>
      <w:r>
        <w:rPr>
          <w:rFonts w:hint="eastAsia" w:eastAsia="仿宋_GB2312"/>
          <w:sz w:val="32"/>
          <w:szCs w:val="32"/>
        </w:rPr>
        <w:t>减免、</w:t>
      </w:r>
      <w:r>
        <w:rPr>
          <w:rFonts w:eastAsia="仿宋_GB2312"/>
          <w:sz w:val="32"/>
          <w:szCs w:val="32"/>
        </w:rPr>
        <w:t>使用</w:t>
      </w:r>
      <w:r>
        <w:rPr>
          <w:rFonts w:hint="eastAsia" w:eastAsia="仿宋_GB2312"/>
          <w:sz w:val="32"/>
          <w:szCs w:val="32"/>
        </w:rPr>
        <w:t>等政策</w:t>
      </w:r>
      <w:r>
        <w:rPr>
          <w:rFonts w:eastAsia="仿宋_GB2312"/>
          <w:sz w:val="32"/>
          <w:szCs w:val="32"/>
        </w:rPr>
        <w:t>制定；</w:t>
      </w:r>
      <w:r>
        <w:rPr>
          <w:rFonts w:hint="eastAsia" w:ascii="仿宋_GB2312" w:hAnsi="仿宋_GB2312" w:eastAsia="仿宋_GB2312" w:cs="仿宋_GB2312"/>
          <w:color w:val="000000"/>
          <w:sz w:val="32"/>
          <w:szCs w:val="32"/>
          <w:lang w:val="zh-CN"/>
        </w:rPr>
        <w:t>国家税务总局内蒙古自治区税务局负责地方水利建设基金及时足额征缴入库</w:t>
      </w:r>
      <w:r>
        <w:rPr>
          <w:rFonts w:hint="eastAsia" w:eastAsia="仿宋_GB2312"/>
          <w:sz w:val="32"/>
          <w:szCs w:val="32"/>
        </w:rPr>
        <w:t>；自治区水利厅负责</w:t>
      </w:r>
      <w:r>
        <w:rPr>
          <w:rFonts w:eastAsia="仿宋_GB2312"/>
          <w:sz w:val="32"/>
          <w:szCs w:val="32"/>
        </w:rPr>
        <w:t>地方水利项目建设</w:t>
      </w:r>
      <w:r>
        <w:rPr>
          <w:rFonts w:hint="eastAsia" w:eastAsia="仿宋_GB2312"/>
          <w:sz w:val="32"/>
          <w:szCs w:val="32"/>
        </w:rPr>
        <w:t>的</w:t>
      </w:r>
      <w:r>
        <w:rPr>
          <w:rFonts w:eastAsia="仿宋_GB2312"/>
          <w:sz w:val="32"/>
          <w:szCs w:val="32"/>
        </w:rPr>
        <w:t>审查。</w:t>
      </w:r>
    </w:p>
    <w:p>
      <w:pPr>
        <w:shd w:val="clear" w:color="auto" w:fill="FFFFFF"/>
        <w:spacing w:line="580" w:lineRule="exact"/>
        <w:ind w:firstLine="643" w:firstLineChars="200"/>
        <w:jc w:val="left"/>
        <w:rPr>
          <w:rFonts w:eastAsia="仿宋_GB2312"/>
          <w:color w:val="000000"/>
          <w:sz w:val="32"/>
          <w:szCs w:val="32"/>
        </w:rPr>
      </w:pPr>
      <w:r>
        <w:rPr>
          <w:rFonts w:eastAsia="楷体_GB2312"/>
          <w:b/>
          <w:sz w:val="32"/>
          <w:szCs w:val="32"/>
        </w:rPr>
        <w:t>第</w:t>
      </w:r>
      <w:r>
        <w:rPr>
          <w:rFonts w:hint="eastAsia" w:eastAsia="楷体_GB2312"/>
          <w:b/>
          <w:sz w:val="32"/>
          <w:szCs w:val="32"/>
        </w:rPr>
        <w:t>九</w:t>
      </w:r>
      <w:r>
        <w:rPr>
          <w:rFonts w:eastAsia="楷体_GB2312"/>
          <w:b/>
          <w:sz w:val="32"/>
          <w:szCs w:val="32"/>
        </w:rPr>
        <w:t>条</w:t>
      </w:r>
      <w:r>
        <w:rPr>
          <w:rFonts w:hint="eastAsia" w:eastAsia="楷体_GB2312"/>
          <w:b/>
          <w:sz w:val="32"/>
          <w:szCs w:val="32"/>
        </w:rPr>
        <w:t xml:space="preserve"> </w:t>
      </w:r>
      <w:r>
        <w:rPr>
          <w:rFonts w:hint="eastAsia" w:eastAsia="仿宋_GB2312"/>
          <w:sz w:val="32"/>
          <w:szCs w:val="32"/>
        </w:rPr>
        <w:t>除法律法规和自治区明确规定的地方水利建设基金优惠政策外，</w:t>
      </w:r>
      <w:r>
        <w:rPr>
          <w:rFonts w:eastAsia="仿宋_GB2312"/>
          <w:sz w:val="32"/>
          <w:szCs w:val="32"/>
        </w:rPr>
        <w:t>不得多征、减征、缓征、停征或者侵占、截留、挪用地方水利建设基金。</w:t>
      </w:r>
    </w:p>
    <w:p>
      <w:pPr>
        <w:shd w:val="clear" w:color="auto" w:fill="FFFFFF"/>
        <w:spacing w:line="580" w:lineRule="exact"/>
        <w:ind w:firstLine="643" w:firstLineChars="200"/>
        <w:jc w:val="left"/>
        <w:rPr>
          <w:rFonts w:hint="eastAsia" w:eastAsia="仿宋_GB2312"/>
          <w:sz w:val="32"/>
          <w:szCs w:val="32"/>
        </w:rPr>
      </w:pPr>
      <w:r>
        <w:rPr>
          <w:rFonts w:eastAsia="楷体_GB2312"/>
          <w:b/>
          <w:sz w:val="32"/>
          <w:szCs w:val="32"/>
        </w:rPr>
        <w:t>第</w:t>
      </w:r>
      <w:r>
        <w:rPr>
          <w:rFonts w:hint="eastAsia" w:eastAsia="楷体_GB2312"/>
          <w:b/>
          <w:sz w:val="32"/>
          <w:szCs w:val="32"/>
        </w:rPr>
        <w:t>十</w:t>
      </w:r>
      <w:r>
        <w:rPr>
          <w:rFonts w:eastAsia="楷体_GB2312"/>
          <w:b/>
          <w:sz w:val="32"/>
          <w:szCs w:val="32"/>
        </w:rPr>
        <w:t>条</w:t>
      </w:r>
      <w:r>
        <w:rPr>
          <w:rFonts w:hint="eastAsia" w:eastAsia="仿宋_GB2312"/>
          <w:sz w:val="32"/>
          <w:szCs w:val="32"/>
        </w:rPr>
        <w:t xml:space="preserve"> </w:t>
      </w:r>
      <w:r>
        <w:rPr>
          <w:rFonts w:eastAsia="仿宋_GB2312"/>
          <w:sz w:val="32"/>
          <w:szCs w:val="32"/>
        </w:rPr>
        <w:t>执行过程中如遇国家政策调整，从其规定。</w:t>
      </w:r>
    </w:p>
    <w:p>
      <w:pPr>
        <w:shd w:val="clear" w:color="auto" w:fill="FFFFFF"/>
        <w:spacing w:line="580" w:lineRule="exact"/>
        <w:ind w:firstLine="643" w:firstLineChars="200"/>
        <w:jc w:val="left"/>
        <w:rPr>
          <w:rFonts w:hint="eastAsia" w:ascii="仿宋_GB2312" w:eastAsia="仿宋_GB2312"/>
          <w:sz w:val="32"/>
          <w:szCs w:val="32"/>
        </w:rPr>
      </w:pPr>
      <w:r>
        <w:rPr>
          <w:rFonts w:eastAsia="楷体_GB2312"/>
          <w:b/>
          <w:sz w:val="32"/>
          <w:szCs w:val="32"/>
        </w:rPr>
        <w:t>第十</w:t>
      </w:r>
      <w:r>
        <w:rPr>
          <w:rFonts w:hint="eastAsia" w:eastAsia="楷体_GB2312"/>
          <w:b/>
          <w:sz w:val="32"/>
          <w:szCs w:val="32"/>
        </w:rPr>
        <w:t>一</w:t>
      </w:r>
      <w:r>
        <w:rPr>
          <w:rFonts w:eastAsia="楷体_GB2312"/>
          <w:b/>
          <w:sz w:val="32"/>
          <w:szCs w:val="32"/>
        </w:rPr>
        <w:t>条</w:t>
      </w:r>
      <w:r>
        <w:rPr>
          <w:rFonts w:eastAsia="仿宋_GB2312"/>
          <w:b/>
          <w:sz w:val="32"/>
          <w:szCs w:val="32"/>
        </w:rPr>
        <w:t xml:space="preserve"> </w:t>
      </w:r>
      <w:r>
        <w:rPr>
          <w:rFonts w:hint="eastAsia" w:ascii="仿宋_GB2312" w:eastAsia="仿宋_GB2312"/>
          <w:color w:val="000000"/>
          <w:sz w:val="32"/>
          <w:szCs w:val="32"/>
        </w:rPr>
        <w:t>本细则自2021年1月1日起施行。</w:t>
      </w:r>
    </w:p>
    <w:p>
      <w:pPr>
        <w:spacing w:line="580" w:lineRule="exact"/>
        <w:jc w:val="left"/>
        <w:rPr>
          <w:rFonts w:ascii="仿宋_GB2312" w:hAnsi="Times New Roman" w:eastAsia="仿宋_GB2312"/>
          <w:color w:val="000000"/>
          <w:sz w:val="32"/>
          <w:szCs w:val="32"/>
        </w:rPr>
      </w:pPr>
    </w:p>
    <w:p>
      <w:pPr>
        <w:spacing w:line="580" w:lineRule="exact"/>
        <w:jc w:val="left"/>
        <w:rPr>
          <w:rFonts w:ascii="仿宋_GB2312" w:hAnsi="Times New Roman" w:eastAsia="仿宋_GB2312"/>
          <w:color w:val="000000"/>
          <w:sz w:val="32"/>
          <w:szCs w:val="32"/>
        </w:rPr>
      </w:pPr>
    </w:p>
    <w:p>
      <w:pPr>
        <w:spacing w:line="580" w:lineRule="exact"/>
        <w:jc w:val="left"/>
        <w:rPr>
          <w:rFonts w:ascii="仿宋_GB2312" w:hAnsi="Times New Roman" w:eastAsia="仿宋_GB2312"/>
          <w:color w:val="000000"/>
          <w:sz w:val="32"/>
          <w:szCs w:val="32"/>
        </w:rPr>
      </w:pPr>
    </w:p>
    <w:p>
      <w:pPr>
        <w:spacing w:line="580" w:lineRule="exact"/>
        <w:jc w:val="left"/>
        <w:rPr>
          <w:rFonts w:ascii="仿宋_GB2312" w:hAnsi="Times New Roman" w:eastAsia="仿宋_GB2312"/>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3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2021-09-17T02:43:15Z</dcterms:created>
  <dc:creator>Administrator</dc:creator>
  <cp:lastModifiedBy>刘佳璐</cp:lastModifiedBy>
  <dcterms:modified xsi:type="dcterms:W3CDTF">2021-09-17T02:44:42Z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39DADC6C573C4D8697F0DB9A6C186089</vt:lpwstr>
  </property>
</Properties>
</file>