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7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7</w:t>
      </w:r>
    </w:p>
    <w:p>
      <w:pPr>
        <w:spacing w:line="670" w:lineRule="exact"/>
        <w:jc w:val="center"/>
        <w:rPr>
          <w:rFonts w:ascii="方正小标宋简体" w:hAnsi="方正小标宋简体" w:eastAsia="方正小标宋简体" w:cs="Times New Roman"/>
          <w:color w:val="000000"/>
          <w:spacing w:val="-2"/>
          <w:sz w:val="48"/>
          <w:szCs w:val="48"/>
        </w:rPr>
      </w:pPr>
      <w:r>
        <w:rPr>
          <w:rFonts w:hint="eastAsia" w:ascii="方正小标宋简体" w:hAnsi="方正小标宋简体" w:eastAsia="方正小标宋简体" w:cs="方正小标宋简体"/>
          <w:color w:val="000000"/>
          <w:spacing w:val="-2"/>
          <w:sz w:val="48"/>
          <w:szCs w:val="48"/>
        </w:rPr>
        <w:t>内蒙古自治区农业保险</w:t>
      </w:r>
    </w:p>
    <w:p>
      <w:pPr>
        <w:spacing w:line="670" w:lineRule="exact"/>
        <w:jc w:val="center"/>
        <w:rPr>
          <w:rFonts w:hint="eastAsia" w:ascii="CESI楷体-GB18030" w:hAnsi="CESI楷体-GB18030" w:eastAsia="方正小标宋简体" w:cs="Times New Roman"/>
          <w:b/>
          <w:bCs/>
          <w:color w:val="000000"/>
          <w:spacing w:val="-2"/>
          <w:sz w:val="48"/>
          <w:szCs w:val="48"/>
          <w:lang w:eastAsia="zh-CN"/>
        </w:rPr>
      </w:pPr>
      <w:r>
        <w:rPr>
          <w:rFonts w:hint="eastAsia" w:ascii="方正小标宋简体" w:hAnsi="方正小标宋简体" w:eastAsia="方正小标宋简体" w:cs="方正小标宋简体"/>
          <w:color w:val="000000"/>
          <w:spacing w:val="-2"/>
          <w:sz w:val="48"/>
          <w:szCs w:val="48"/>
        </w:rPr>
        <w:t>绩效管理</w:t>
      </w:r>
      <w:r>
        <w:rPr>
          <w:rFonts w:hint="eastAsia" w:ascii="方正小标宋简体" w:hAnsi="方正小标宋简体" w:eastAsia="方正小标宋简体" w:cs="方正小标宋简体"/>
          <w:color w:val="000000"/>
          <w:spacing w:val="-2"/>
          <w:sz w:val="48"/>
          <w:szCs w:val="48"/>
          <w:lang w:eastAsia="zh-CN"/>
        </w:rPr>
        <w:t>流程</w:t>
      </w:r>
    </w:p>
    <w:p>
      <w:pPr>
        <w:spacing w:line="670" w:lineRule="exact"/>
        <w:ind w:firstLine="712" w:firstLineChars="200"/>
        <w:rPr>
          <w:rFonts w:ascii="CESI楷体-GB18030" w:hAnsi="CESI楷体-GB18030" w:eastAsia="CESI楷体-GB18030" w:cs="Times New Roman"/>
          <w:b/>
          <w:bCs/>
          <w:color w:val="000000"/>
          <w:spacing w:val="-2"/>
          <w:sz w:val="36"/>
          <w:szCs w:val="36"/>
        </w:rPr>
      </w:pPr>
    </w:p>
    <w:p>
      <w:pPr>
        <w:spacing w:line="670" w:lineRule="exact"/>
        <w:ind w:firstLine="712" w:firstLineChars="200"/>
        <w:rPr>
          <w:rFonts w:ascii="黑体" w:hAnsi="黑体" w:eastAsia="黑体" w:cs="Times New Roman"/>
          <w:color w:val="000000"/>
          <w:spacing w:val="-2"/>
          <w:sz w:val="36"/>
          <w:szCs w:val="36"/>
        </w:rPr>
      </w:pPr>
      <w:r>
        <w:rPr>
          <w:rFonts w:hint="eastAsia" w:ascii="黑体" w:hAnsi="黑体" w:eastAsia="黑体" w:cs="黑体"/>
          <w:color w:val="000000"/>
          <w:spacing w:val="-2"/>
          <w:sz w:val="36"/>
          <w:szCs w:val="36"/>
        </w:rPr>
        <w:t>一、绩效评价所需材料及上报时间</w:t>
      </w:r>
    </w:p>
    <w:p>
      <w:pPr>
        <w:spacing w:line="670" w:lineRule="exact"/>
        <w:ind w:firstLine="712" w:firstLineChars="200"/>
        <w:rPr>
          <w:rFonts w:ascii="方正仿宋_GBK" w:hAnsi="方正仿宋_GBK" w:eastAsia="仿宋_GB2312" w:cs="Times New Roman"/>
          <w:color w:val="000000"/>
          <w:spacing w:val="-2"/>
          <w:sz w:val="36"/>
          <w:szCs w:val="36"/>
        </w:rPr>
      </w:pPr>
      <w:r>
        <w:rPr>
          <w:rFonts w:hint="eastAsia" w:ascii="方正仿宋_GBK" w:hAnsi="方正仿宋_GBK" w:eastAsia="仿宋_GB2312" w:cs="仿宋_GB2312"/>
          <w:color w:val="000000"/>
          <w:spacing w:val="-2"/>
          <w:sz w:val="36"/>
          <w:szCs w:val="36"/>
        </w:rPr>
        <w:t>各级财政部门应当按照全面实施预算绩效管理有关规定，科学设置绩效目标，开展绩效运行监控和绩效评价。</w:t>
      </w:r>
    </w:p>
    <w:p>
      <w:pPr>
        <w:spacing w:line="670" w:lineRule="exact"/>
        <w:ind w:firstLine="712" w:firstLineChars="200"/>
        <w:rPr>
          <w:rFonts w:ascii="方正仿宋_GBK" w:hAnsi="方正仿宋_GBK" w:eastAsia="仿宋_GB2312" w:cs="Times New Roman"/>
          <w:color w:val="000000"/>
          <w:spacing w:val="-2"/>
          <w:sz w:val="36"/>
          <w:szCs w:val="36"/>
        </w:rPr>
      </w:pPr>
      <w:r>
        <w:rPr>
          <w:rFonts w:hint="eastAsia" w:ascii="方正仿宋_GBK" w:hAnsi="方正仿宋_GBK" w:eastAsia="仿宋_GB2312" w:cs="仿宋_GB2312"/>
          <w:color w:val="000000"/>
          <w:spacing w:val="-2"/>
          <w:sz w:val="36"/>
          <w:szCs w:val="36"/>
        </w:rPr>
        <w:t>（一）旗县（市、区）财政部门会同农牧、林草等部门根据本地实际情况，对照农业保险保费补贴综合绩效评价指标</w:t>
      </w:r>
      <w:bookmarkStart w:id="0" w:name="_Hlk116481569"/>
      <w:r>
        <w:rPr>
          <w:rFonts w:hint="eastAsia" w:ascii="方正仿宋_GBK" w:hAnsi="方正仿宋_GBK" w:eastAsia="仿宋_GB2312" w:cs="仿宋_GB2312"/>
          <w:color w:val="000000"/>
          <w:spacing w:val="-2"/>
          <w:sz w:val="36"/>
          <w:szCs w:val="36"/>
        </w:rPr>
        <w:t>和区域绩效评价指标</w:t>
      </w:r>
      <w:bookmarkEnd w:id="0"/>
      <w:r>
        <w:rPr>
          <w:rFonts w:hint="eastAsia" w:ascii="方正仿宋_GBK" w:hAnsi="方正仿宋_GBK" w:eastAsia="仿宋_GB2312" w:cs="仿宋_GB2312"/>
          <w:color w:val="000000"/>
          <w:spacing w:val="-2"/>
          <w:sz w:val="36"/>
          <w:szCs w:val="36"/>
        </w:rPr>
        <w:t>进行绩效自评，编报上年度农业保险保费补贴综合绩效自评报告，并提供必要的佐证材料，填报</w:t>
      </w:r>
      <w:r>
        <w:rPr>
          <w:rFonts w:hint="eastAsia" w:ascii="仿宋_GB2312" w:hAnsi="仿宋_GB2312" w:eastAsia="仿宋_GB2312" w:cs="仿宋_GB2312"/>
          <w:color w:val="000000"/>
          <w:spacing w:val="-2"/>
          <w:sz w:val="36"/>
          <w:szCs w:val="36"/>
        </w:rPr>
        <w:t>附件</w:t>
      </w:r>
      <w:r>
        <w:rPr>
          <w:rFonts w:ascii="仿宋_GB2312" w:hAnsi="仿宋_GB2312" w:eastAsia="仿宋_GB2312" w:cs="仿宋_GB2312"/>
          <w:color w:val="000000"/>
          <w:spacing w:val="-2"/>
          <w:sz w:val="36"/>
          <w:szCs w:val="36"/>
        </w:rPr>
        <w:t>7-1</w:t>
      </w:r>
      <w:r>
        <w:rPr>
          <w:rFonts w:hint="eastAsia" w:ascii="仿宋_GB2312" w:hAnsi="仿宋_GB2312" w:eastAsia="仿宋_GB2312" w:cs="仿宋_GB2312"/>
          <w:color w:val="000000"/>
          <w:spacing w:val="-2"/>
          <w:sz w:val="36"/>
          <w:szCs w:val="36"/>
        </w:rPr>
        <w:t>、</w:t>
      </w:r>
      <w:r>
        <w:rPr>
          <w:rFonts w:ascii="仿宋_GB2312" w:hAnsi="仿宋_GB2312" w:eastAsia="仿宋_GB2312" w:cs="仿宋_GB2312"/>
          <w:color w:val="000000"/>
          <w:spacing w:val="-2"/>
          <w:sz w:val="36"/>
          <w:szCs w:val="36"/>
        </w:rPr>
        <w:t>7-3</w:t>
      </w:r>
      <w:r>
        <w:rPr>
          <w:rFonts w:hint="eastAsia" w:ascii="仿宋_GB2312" w:hAnsi="仿宋_GB2312" w:eastAsia="仿宋_GB2312" w:cs="仿宋_GB2312"/>
          <w:color w:val="000000"/>
          <w:spacing w:val="-2"/>
          <w:sz w:val="36"/>
          <w:szCs w:val="36"/>
        </w:rPr>
        <w:t>。</w:t>
      </w:r>
    </w:p>
    <w:p>
      <w:pPr>
        <w:spacing w:line="670" w:lineRule="exact"/>
        <w:ind w:firstLine="712" w:firstLineChars="200"/>
        <w:rPr>
          <w:rFonts w:ascii="仿宋_GB2312" w:hAnsi="方正仿宋_GBK" w:eastAsia="仿宋_GB2312" w:cs="Times New Roman"/>
          <w:spacing w:val="-2"/>
          <w:sz w:val="36"/>
          <w:szCs w:val="36"/>
        </w:rPr>
      </w:pPr>
      <w:r>
        <w:rPr>
          <w:rFonts w:hint="eastAsia" w:ascii="方正仿宋_GBK" w:hAnsi="方正仿宋_GBK" w:eastAsia="仿宋_GB2312" w:cs="仿宋_GB2312"/>
          <w:color w:val="000000"/>
          <w:spacing w:val="-2"/>
          <w:sz w:val="36"/>
          <w:szCs w:val="36"/>
        </w:rPr>
        <w:t>（二）在旗县（市、区）绩效评价的基础上，盟市财政部门会同农牧、林草等部门根据本地区实际情况，对照农业保险保费补贴综合绩效评价指标和区域绩效评价指标进行绩效自评，编报上年度农业保险</w:t>
      </w:r>
      <w:r>
        <w:rPr>
          <w:rFonts w:hint="eastAsia" w:ascii="仿宋_GB2312" w:hAnsi="方正仿宋_GBK" w:eastAsia="仿宋_GB2312" w:cs="仿宋_GB2312"/>
          <w:spacing w:val="-2"/>
          <w:sz w:val="36"/>
          <w:szCs w:val="36"/>
        </w:rPr>
        <w:t>保费补贴综合绩效自评报告，提供必要的佐证材料，填报</w:t>
      </w:r>
      <w:r>
        <w:rPr>
          <w:rFonts w:hint="eastAsia" w:ascii="仿宋_GB2312" w:hAnsi="仿宋_GB2312" w:eastAsia="仿宋_GB2312" w:cs="仿宋_GB2312"/>
          <w:color w:val="000000"/>
          <w:spacing w:val="-2"/>
          <w:sz w:val="36"/>
          <w:szCs w:val="36"/>
        </w:rPr>
        <w:t>附件</w:t>
      </w:r>
      <w:r>
        <w:rPr>
          <w:rFonts w:ascii="仿宋_GB2312" w:hAnsi="仿宋_GB2312" w:eastAsia="仿宋_GB2312" w:cs="仿宋_GB2312"/>
          <w:color w:val="000000"/>
          <w:spacing w:val="-2"/>
          <w:sz w:val="36"/>
          <w:szCs w:val="36"/>
        </w:rPr>
        <w:t>7-1</w:t>
      </w:r>
      <w:r>
        <w:rPr>
          <w:rFonts w:hint="eastAsia" w:ascii="仿宋_GB2312" w:hAnsi="仿宋_GB2312" w:eastAsia="仿宋_GB2312" w:cs="仿宋_GB2312"/>
          <w:color w:val="000000"/>
          <w:spacing w:val="-2"/>
          <w:sz w:val="36"/>
          <w:szCs w:val="36"/>
        </w:rPr>
        <w:t>、</w:t>
      </w:r>
      <w:r>
        <w:rPr>
          <w:rFonts w:ascii="仿宋_GB2312" w:hAnsi="仿宋_GB2312" w:eastAsia="仿宋_GB2312" w:cs="仿宋_GB2312"/>
          <w:color w:val="000000"/>
          <w:spacing w:val="-2"/>
          <w:sz w:val="36"/>
          <w:szCs w:val="36"/>
        </w:rPr>
        <w:t>7-3</w:t>
      </w:r>
      <w:r>
        <w:rPr>
          <w:rFonts w:hint="eastAsia" w:ascii="仿宋_GB2312" w:hAnsi="仿宋_GB2312" w:eastAsia="仿宋_GB2312" w:cs="仿宋_GB2312"/>
          <w:color w:val="000000"/>
          <w:spacing w:val="-2"/>
          <w:sz w:val="36"/>
          <w:szCs w:val="36"/>
        </w:rPr>
        <w:t>。</w:t>
      </w:r>
    </w:p>
    <w:p>
      <w:pPr>
        <w:spacing w:line="670" w:lineRule="exact"/>
        <w:ind w:firstLine="712" w:firstLineChars="200"/>
        <w:rPr>
          <w:rFonts w:ascii="方正仿宋_GBK" w:hAnsi="方正仿宋_GBK" w:eastAsia="仿宋_GB2312" w:cs="Times New Roman"/>
          <w:color w:val="000000"/>
          <w:spacing w:val="-2"/>
          <w:sz w:val="36"/>
          <w:szCs w:val="36"/>
        </w:rPr>
      </w:pPr>
      <w:r>
        <w:rPr>
          <w:rFonts w:hint="eastAsia" w:ascii="方正仿宋_GBK" w:hAnsi="方正仿宋_GBK" w:eastAsia="仿宋_GB2312" w:cs="仿宋_GB2312"/>
          <w:color w:val="000000"/>
          <w:spacing w:val="-2"/>
          <w:sz w:val="36"/>
          <w:szCs w:val="36"/>
        </w:rPr>
        <w:t>（三）森工集团和大青山国家级自然保护区管理局根据本单位实际情况，对照农业保险保费补贴综合绩效评价指标和区域绩效评价指标进行绩效自评，编报上年度农业保险保费补贴综合绩效自评报告，提供必要的佐证材</w:t>
      </w:r>
      <w:r>
        <w:rPr>
          <w:rFonts w:hint="eastAsia" w:ascii="仿宋_GB2312" w:hAnsi="方正仿宋_GBK" w:eastAsia="仿宋_GB2312" w:cs="仿宋_GB2312"/>
          <w:spacing w:val="-2"/>
          <w:sz w:val="36"/>
          <w:szCs w:val="36"/>
        </w:rPr>
        <w:t>料，填报</w:t>
      </w:r>
      <w:r>
        <w:rPr>
          <w:rFonts w:hint="eastAsia" w:ascii="仿宋_GB2312" w:hAnsi="仿宋_GB2312" w:eastAsia="仿宋_GB2312" w:cs="仿宋_GB2312"/>
          <w:color w:val="000000"/>
          <w:spacing w:val="-2"/>
          <w:sz w:val="36"/>
          <w:szCs w:val="36"/>
        </w:rPr>
        <w:t>附件</w:t>
      </w:r>
      <w:r>
        <w:rPr>
          <w:rFonts w:ascii="仿宋_GB2312" w:hAnsi="仿宋_GB2312" w:eastAsia="仿宋_GB2312" w:cs="仿宋_GB2312"/>
          <w:color w:val="000000"/>
          <w:spacing w:val="-2"/>
          <w:sz w:val="36"/>
          <w:szCs w:val="36"/>
        </w:rPr>
        <w:t>7-1</w:t>
      </w:r>
      <w:r>
        <w:rPr>
          <w:rFonts w:hint="eastAsia" w:ascii="仿宋_GB2312" w:hAnsi="仿宋_GB2312" w:eastAsia="仿宋_GB2312" w:cs="仿宋_GB2312"/>
          <w:color w:val="000000"/>
          <w:spacing w:val="-2"/>
          <w:sz w:val="36"/>
          <w:szCs w:val="36"/>
        </w:rPr>
        <w:t>、</w:t>
      </w:r>
      <w:r>
        <w:rPr>
          <w:rFonts w:ascii="仿宋_GB2312" w:hAnsi="仿宋_GB2312" w:eastAsia="仿宋_GB2312" w:cs="仿宋_GB2312"/>
          <w:color w:val="000000"/>
          <w:spacing w:val="-2"/>
          <w:sz w:val="36"/>
          <w:szCs w:val="36"/>
        </w:rPr>
        <w:t>7-3</w:t>
      </w:r>
      <w:r>
        <w:rPr>
          <w:rFonts w:hint="eastAsia" w:ascii="仿宋_GB2312" w:hAnsi="仿宋_GB2312" w:eastAsia="仿宋_GB2312" w:cs="仿宋_GB2312"/>
          <w:color w:val="000000"/>
          <w:spacing w:val="-2"/>
          <w:sz w:val="36"/>
          <w:szCs w:val="36"/>
        </w:rPr>
        <w:t>。</w:t>
      </w:r>
    </w:p>
    <w:p>
      <w:pPr>
        <w:spacing w:line="670" w:lineRule="exact"/>
        <w:ind w:firstLine="712" w:firstLineChars="200"/>
        <w:rPr>
          <w:rFonts w:ascii="方正仿宋_GBK" w:hAnsi="方正仿宋_GBK" w:eastAsia="仿宋_GB2312" w:cs="Times New Roman"/>
          <w:color w:val="000000"/>
          <w:spacing w:val="-2"/>
          <w:sz w:val="36"/>
          <w:szCs w:val="36"/>
        </w:rPr>
      </w:pPr>
      <w:r>
        <w:rPr>
          <w:rFonts w:hint="eastAsia" w:ascii="方正仿宋_GBK" w:hAnsi="方正仿宋_GBK" w:eastAsia="仿宋_GB2312" w:cs="仿宋_GB2312"/>
          <w:color w:val="000000"/>
          <w:spacing w:val="-2"/>
          <w:sz w:val="36"/>
          <w:szCs w:val="36"/>
        </w:rPr>
        <w:t>（四）各承保机构内蒙古分公司根据本单位实际情况，对照农业保险保费补贴综合绩效评价指标进行绩效自评，编报上年度农业保险保费</w:t>
      </w:r>
      <w:r>
        <w:rPr>
          <w:rFonts w:hint="eastAsia" w:ascii="仿宋_GB2312" w:hAnsi="方正仿宋_GBK" w:eastAsia="仿宋_GB2312" w:cs="仿宋_GB2312"/>
          <w:spacing w:val="-2"/>
          <w:sz w:val="36"/>
          <w:szCs w:val="36"/>
        </w:rPr>
        <w:t>补贴综合绩效自评报告，提供必要的佐证材料，填报</w:t>
      </w:r>
      <w:r>
        <w:rPr>
          <w:rFonts w:hint="eastAsia" w:ascii="仿宋_GB2312" w:hAnsi="仿宋_GB2312" w:eastAsia="仿宋_GB2312" w:cs="仿宋_GB2312"/>
          <w:color w:val="000000"/>
          <w:spacing w:val="-2"/>
          <w:sz w:val="36"/>
          <w:szCs w:val="36"/>
        </w:rPr>
        <w:t>附件</w:t>
      </w:r>
      <w:r>
        <w:rPr>
          <w:rFonts w:ascii="仿宋_GB2312" w:hAnsi="仿宋_GB2312" w:eastAsia="仿宋_GB2312" w:cs="仿宋_GB2312"/>
          <w:color w:val="000000"/>
          <w:spacing w:val="-2"/>
          <w:sz w:val="36"/>
          <w:szCs w:val="36"/>
        </w:rPr>
        <w:t>7-2</w:t>
      </w:r>
      <w:r>
        <w:rPr>
          <w:rFonts w:hint="eastAsia" w:ascii="仿宋_GB2312" w:hAnsi="仿宋_GB2312" w:eastAsia="仿宋_GB2312" w:cs="仿宋_GB2312"/>
          <w:color w:val="000000"/>
          <w:spacing w:val="-2"/>
          <w:sz w:val="36"/>
          <w:szCs w:val="36"/>
        </w:rPr>
        <w:t>。</w:t>
      </w:r>
    </w:p>
    <w:p>
      <w:pPr>
        <w:spacing w:line="670" w:lineRule="exact"/>
        <w:ind w:firstLine="712" w:firstLineChars="200"/>
        <w:rPr>
          <w:rFonts w:ascii="仿宋_GB2312" w:hAnsi="方正仿宋_GBK" w:eastAsia="仿宋_GB2312" w:cs="Times New Roman"/>
          <w:spacing w:val="-2"/>
          <w:sz w:val="36"/>
          <w:szCs w:val="36"/>
        </w:rPr>
      </w:pPr>
      <w:r>
        <w:rPr>
          <w:rFonts w:hint="eastAsia" w:ascii="方正仿宋_GBK" w:hAnsi="方正仿宋_GBK" w:eastAsia="仿宋_GB2312" w:cs="仿宋_GB2312"/>
          <w:color w:val="000000"/>
          <w:spacing w:val="-2"/>
          <w:sz w:val="36"/>
          <w:szCs w:val="36"/>
        </w:rPr>
        <w:t>（五）各盟市财政部门、森工集团、大青山国家级自然保护区管理局、各承保机构</w:t>
      </w:r>
      <w:r>
        <w:rPr>
          <w:rFonts w:hint="eastAsia" w:ascii="仿宋_GB2312" w:hAnsi="方正仿宋_GBK" w:eastAsia="仿宋_GB2312" w:cs="仿宋_GB2312"/>
          <w:spacing w:val="-2"/>
          <w:sz w:val="36"/>
          <w:szCs w:val="36"/>
        </w:rPr>
        <w:t>内蒙古分公司对报送材料和数据的真实性负责。各盟市财政部门、森工集团、大青山国家级自然保护区管理局、各承保机构内蒙古分公司相关自评材料于每年</w:t>
      </w:r>
      <w:r>
        <w:rPr>
          <w:rFonts w:ascii="仿宋_GB2312" w:hAnsi="方正仿宋_GBK" w:eastAsia="仿宋_GB2312" w:cs="仿宋_GB2312"/>
          <w:spacing w:val="-2"/>
          <w:sz w:val="36"/>
          <w:szCs w:val="36"/>
        </w:rPr>
        <w:t>3</w:t>
      </w:r>
      <w:r>
        <w:rPr>
          <w:rFonts w:hint="eastAsia" w:ascii="仿宋_GB2312" w:hAnsi="方正仿宋_GBK" w:eastAsia="仿宋_GB2312" w:cs="仿宋_GB2312"/>
          <w:spacing w:val="-2"/>
          <w:sz w:val="36"/>
          <w:szCs w:val="36"/>
        </w:rPr>
        <w:t>月</w:t>
      </w:r>
      <w:r>
        <w:rPr>
          <w:rFonts w:ascii="仿宋_GB2312" w:hAnsi="方正仿宋_GBK" w:eastAsia="仿宋_GB2312" w:cs="仿宋_GB2312"/>
          <w:spacing w:val="-2"/>
          <w:sz w:val="36"/>
          <w:szCs w:val="36"/>
        </w:rPr>
        <w:t>1</w:t>
      </w:r>
      <w:r>
        <w:rPr>
          <w:rFonts w:hint="eastAsia" w:ascii="仿宋_GB2312" w:hAnsi="方正仿宋_GBK" w:eastAsia="仿宋_GB2312" w:cs="仿宋_GB2312"/>
          <w:spacing w:val="-2"/>
          <w:sz w:val="36"/>
          <w:szCs w:val="36"/>
        </w:rPr>
        <w:t>日前报送自治区财政厅。各盟市、各单位的综合绩效评价报告内容主要包括：（</w:t>
      </w:r>
      <w:r>
        <w:rPr>
          <w:rFonts w:ascii="仿宋_GB2312" w:hAnsi="方正仿宋_GBK" w:eastAsia="仿宋_GB2312" w:cs="仿宋_GB2312"/>
          <w:spacing w:val="-2"/>
          <w:sz w:val="36"/>
          <w:szCs w:val="36"/>
        </w:rPr>
        <w:t>1</w:t>
      </w:r>
      <w:r>
        <w:rPr>
          <w:rFonts w:hint="eastAsia" w:ascii="仿宋_GB2312" w:hAnsi="方正仿宋_GBK" w:eastAsia="仿宋_GB2312" w:cs="仿宋_GB2312"/>
          <w:spacing w:val="-2"/>
          <w:sz w:val="36"/>
          <w:szCs w:val="36"/>
        </w:rPr>
        <w:t>）各项综合绩效评价指标完成情况。对照各项三级绩效指标的指标释义和评价标准，逐项填写全年实际完成情况并计算分值。（</w:t>
      </w:r>
      <w:r>
        <w:rPr>
          <w:rFonts w:ascii="仿宋_GB2312" w:hAnsi="方正仿宋_GBK" w:eastAsia="仿宋_GB2312" w:cs="仿宋_GB2312"/>
          <w:spacing w:val="-2"/>
          <w:sz w:val="36"/>
          <w:szCs w:val="36"/>
        </w:rPr>
        <w:t>2</w:t>
      </w:r>
      <w:r>
        <w:rPr>
          <w:rFonts w:hint="eastAsia" w:ascii="仿宋_GB2312" w:hAnsi="方正仿宋_GBK" w:eastAsia="仿宋_GB2312" w:cs="仿宋_GB2312"/>
          <w:spacing w:val="-2"/>
          <w:sz w:val="36"/>
          <w:szCs w:val="36"/>
        </w:rPr>
        <w:t>）未完成绩效指标的原因和改进措施。对未完成绩效指标的原因逐条进行分析，书面作出说明并提出改进措施。（</w:t>
      </w:r>
      <w:r>
        <w:rPr>
          <w:rFonts w:ascii="仿宋_GB2312" w:hAnsi="方正仿宋_GBK" w:eastAsia="仿宋_GB2312" w:cs="仿宋_GB2312"/>
          <w:spacing w:val="-2"/>
          <w:sz w:val="36"/>
          <w:szCs w:val="36"/>
        </w:rPr>
        <w:t>3</w:t>
      </w:r>
      <w:r>
        <w:rPr>
          <w:rFonts w:hint="eastAsia" w:ascii="仿宋_GB2312" w:hAnsi="方正仿宋_GBK" w:eastAsia="仿宋_GB2312" w:cs="仿宋_GB2312"/>
          <w:spacing w:val="-2"/>
          <w:sz w:val="36"/>
          <w:szCs w:val="36"/>
        </w:rPr>
        <w:t>）</w:t>
      </w:r>
      <w:r>
        <w:rPr>
          <w:rFonts w:hint="eastAsia" w:ascii="仿宋_GB2312" w:hAnsi="仿宋_GB2312" w:eastAsia="仿宋_GB2312" w:cs="仿宋_GB2312"/>
          <w:color w:val="000000"/>
          <w:spacing w:val="-2"/>
          <w:sz w:val="36"/>
          <w:szCs w:val="36"/>
        </w:rPr>
        <w:t>附件</w:t>
      </w:r>
      <w:r>
        <w:rPr>
          <w:rFonts w:ascii="仿宋_GB2312" w:hAnsi="仿宋_GB2312" w:eastAsia="仿宋_GB2312" w:cs="仿宋_GB2312"/>
          <w:color w:val="000000"/>
          <w:spacing w:val="-2"/>
          <w:sz w:val="36"/>
          <w:szCs w:val="36"/>
        </w:rPr>
        <w:t>7-1</w:t>
      </w:r>
      <w:r>
        <w:rPr>
          <w:rFonts w:hint="eastAsia" w:ascii="仿宋_GB2312" w:hAnsi="仿宋_GB2312" w:eastAsia="仿宋_GB2312" w:cs="仿宋_GB2312"/>
          <w:color w:val="000000"/>
          <w:spacing w:val="-2"/>
          <w:sz w:val="36"/>
          <w:szCs w:val="36"/>
        </w:rPr>
        <w:t>、</w:t>
      </w:r>
      <w:r>
        <w:rPr>
          <w:rFonts w:ascii="仿宋_GB2312" w:hAnsi="仿宋_GB2312" w:eastAsia="仿宋_GB2312" w:cs="仿宋_GB2312"/>
          <w:color w:val="000000"/>
          <w:spacing w:val="-2"/>
          <w:sz w:val="36"/>
          <w:szCs w:val="36"/>
        </w:rPr>
        <w:t>7-2</w:t>
      </w:r>
      <w:r>
        <w:rPr>
          <w:rFonts w:hint="eastAsia" w:ascii="仿宋_GB2312" w:hAnsi="仿宋_GB2312" w:eastAsia="仿宋_GB2312" w:cs="仿宋_GB2312"/>
          <w:color w:val="000000"/>
          <w:spacing w:val="-2"/>
          <w:sz w:val="36"/>
          <w:szCs w:val="36"/>
        </w:rPr>
        <w:t>、</w:t>
      </w:r>
      <w:r>
        <w:rPr>
          <w:rFonts w:ascii="仿宋_GB2312" w:hAnsi="仿宋_GB2312" w:eastAsia="仿宋_GB2312" w:cs="仿宋_GB2312"/>
          <w:color w:val="000000"/>
          <w:spacing w:val="-2"/>
          <w:sz w:val="36"/>
          <w:szCs w:val="36"/>
        </w:rPr>
        <w:t>7-3</w:t>
      </w:r>
      <w:r>
        <w:rPr>
          <w:rFonts w:hint="eastAsia" w:ascii="仿宋_GB2312" w:hAnsi="仿宋_GB2312" w:eastAsia="仿宋_GB2312" w:cs="仿宋_GB2312"/>
          <w:color w:val="000000"/>
          <w:spacing w:val="-2"/>
          <w:sz w:val="36"/>
          <w:szCs w:val="36"/>
        </w:rPr>
        <w:t>。</w:t>
      </w:r>
      <w:r>
        <w:rPr>
          <w:rFonts w:hint="eastAsia" w:ascii="仿宋_GB2312" w:hAnsi="方正仿宋_GBK" w:eastAsia="仿宋_GB2312" w:cs="仿宋_GB2312"/>
          <w:spacing w:val="-2"/>
          <w:sz w:val="36"/>
          <w:szCs w:val="36"/>
        </w:rPr>
        <w:t>（</w:t>
      </w:r>
      <w:r>
        <w:rPr>
          <w:rFonts w:ascii="仿宋_GB2312" w:hAnsi="方正仿宋_GBK" w:eastAsia="仿宋_GB2312" w:cs="仿宋_GB2312"/>
          <w:spacing w:val="-2"/>
          <w:sz w:val="36"/>
          <w:szCs w:val="36"/>
        </w:rPr>
        <w:t>4</w:t>
      </w:r>
      <w:r>
        <w:rPr>
          <w:rFonts w:hint="eastAsia" w:ascii="仿宋_GB2312" w:hAnsi="方正仿宋_GBK" w:eastAsia="仿宋_GB2312" w:cs="仿宋_GB2312"/>
          <w:spacing w:val="-2"/>
          <w:sz w:val="36"/>
          <w:szCs w:val="36"/>
        </w:rPr>
        <w:t>）其他材料。财政部、财政部内蒙古监管局和自治区财政厅认为应当报送或有必要进行说明的材料。</w:t>
      </w:r>
    </w:p>
    <w:p>
      <w:pPr>
        <w:spacing w:line="670" w:lineRule="exact"/>
        <w:ind w:firstLine="712" w:firstLineChars="200"/>
        <w:rPr>
          <w:rFonts w:ascii="方正仿宋_GBK" w:hAnsi="方正仿宋_GBK" w:eastAsia="仿宋_GB2312" w:cs="Times New Roman"/>
          <w:color w:val="000000"/>
          <w:spacing w:val="-2"/>
          <w:sz w:val="36"/>
          <w:szCs w:val="36"/>
        </w:rPr>
      </w:pPr>
      <w:r>
        <w:rPr>
          <w:rFonts w:hint="eastAsia" w:ascii="方正仿宋_GBK" w:hAnsi="方正仿宋_GBK" w:eastAsia="仿宋_GB2312" w:cs="仿宋_GB2312"/>
          <w:color w:val="000000"/>
          <w:spacing w:val="-2"/>
          <w:sz w:val="36"/>
          <w:szCs w:val="36"/>
        </w:rPr>
        <w:t>（六）自治区财政厅根据本地区实际情况，对照农业保险保费补贴综合绩效评价指标进行绩效自评，编报上年度农业保险保费补贴综合绩</w:t>
      </w:r>
      <w:r>
        <w:rPr>
          <w:rFonts w:hint="eastAsia" w:ascii="仿宋_GB2312" w:hAnsi="方正仿宋_GBK" w:eastAsia="仿宋_GB2312" w:cs="仿宋_GB2312"/>
          <w:spacing w:val="-2"/>
          <w:sz w:val="36"/>
          <w:szCs w:val="36"/>
        </w:rPr>
        <w:t>效评价指标和区域绩效评价指标，提供必要的佐证材料，填报</w:t>
      </w:r>
      <w:r>
        <w:rPr>
          <w:rFonts w:hint="eastAsia" w:ascii="仿宋_GB2312" w:hAnsi="仿宋_GB2312" w:eastAsia="仿宋_GB2312" w:cs="仿宋_GB2312"/>
          <w:color w:val="000000"/>
          <w:spacing w:val="-2"/>
          <w:sz w:val="36"/>
          <w:szCs w:val="36"/>
        </w:rPr>
        <w:t>附件</w:t>
      </w:r>
      <w:r>
        <w:rPr>
          <w:rFonts w:ascii="仿宋_GB2312" w:hAnsi="仿宋_GB2312" w:eastAsia="仿宋_GB2312" w:cs="仿宋_GB2312"/>
          <w:color w:val="000000"/>
          <w:spacing w:val="-2"/>
          <w:sz w:val="36"/>
          <w:szCs w:val="36"/>
        </w:rPr>
        <w:t>7-1</w:t>
      </w:r>
      <w:r>
        <w:rPr>
          <w:rFonts w:hint="eastAsia" w:ascii="仿宋_GB2312" w:hAnsi="仿宋_GB2312" w:eastAsia="仿宋_GB2312" w:cs="仿宋_GB2312"/>
          <w:color w:val="000000"/>
          <w:spacing w:val="-2"/>
          <w:sz w:val="36"/>
          <w:szCs w:val="36"/>
        </w:rPr>
        <w:t>、</w:t>
      </w:r>
      <w:r>
        <w:rPr>
          <w:rFonts w:ascii="仿宋_GB2312" w:hAnsi="仿宋_GB2312" w:eastAsia="仿宋_GB2312" w:cs="仿宋_GB2312"/>
          <w:color w:val="000000"/>
          <w:spacing w:val="-2"/>
          <w:sz w:val="36"/>
          <w:szCs w:val="36"/>
        </w:rPr>
        <w:t>7-2</w:t>
      </w:r>
      <w:r>
        <w:rPr>
          <w:rFonts w:hint="eastAsia" w:ascii="仿宋_GB2312" w:hAnsi="仿宋_GB2312" w:eastAsia="仿宋_GB2312" w:cs="仿宋_GB2312"/>
          <w:color w:val="000000"/>
          <w:spacing w:val="-2"/>
          <w:sz w:val="36"/>
          <w:szCs w:val="36"/>
        </w:rPr>
        <w:t>、</w:t>
      </w:r>
      <w:r>
        <w:rPr>
          <w:rFonts w:ascii="仿宋_GB2312" w:hAnsi="仿宋_GB2312" w:eastAsia="仿宋_GB2312" w:cs="仿宋_GB2312"/>
          <w:color w:val="000000"/>
          <w:spacing w:val="-2"/>
          <w:sz w:val="36"/>
          <w:szCs w:val="36"/>
        </w:rPr>
        <w:t>7-3</w:t>
      </w:r>
      <w:r>
        <w:rPr>
          <w:rFonts w:hint="eastAsia" w:ascii="仿宋_GB2312" w:hAnsi="方正仿宋_GBK" w:eastAsia="仿宋_GB2312" w:cs="仿宋_GB2312"/>
          <w:spacing w:val="-2"/>
          <w:sz w:val="36"/>
          <w:szCs w:val="36"/>
        </w:rPr>
        <w:t>，分别于每年</w:t>
      </w:r>
      <w:r>
        <w:rPr>
          <w:rFonts w:ascii="仿宋_GB2312" w:hAnsi="方正仿宋_GBK" w:eastAsia="仿宋_GB2312" w:cs="仿宋_GB2312"/>
          <w:spacing w:val="-2"/>
          <w:sz w:val="36"/>
          <w:szCs w:val="36"/>
        </w:rPr>
        <w:t>4</w:t>
      </w:r>
      <w:r>
        <w:rPr>
          <w:rFonts w:hint="eastAsia" w:ascii="仿宋_GB2312" w:hAnsi="方正仿宋_GBK" w:eastAsia="仿宋_GB2312" w:cs="仿宋_GB2312"/>
          <w:spacing w:val="-2"/>
          <w:sz w:val="36"/>
          <w:szCs w:val="36"/>
        </w:rPr>
        <w:t>月</w:t>
      </w:r>
      <w:r>
        <w:rPr>
          <w:rFonts w:ascii="仿宋_GB2312" w:hAnsi="方正仿宋_GBK" w:eastAsia="仿宋_GB2312" w:cs="仿宋_GB2312"/>
          <w:spacing w:val="-2"/>
          <w:sz w:val="36"/>
          <w:szCs w:val="36"/>
        </w:rPr>
        <w:t>15</w:t>
      </w:r>
      <w:r>
        <w:rPr>
          <w:rFonts w:hint="eastAsia" w:ascii="仿宋_GB2312" w:hAnsi="方正仿宋_GBK" w:eastAsia="仿宋_GB2312" w:cs="仿宋_GB2312"/>
          <w:spacing w:val="-2"/>
          <w:sz w:val="36"/>
          <w:szCs w:val="36"/>
        </w:rPr>
        <w:t>日和</w:t>
      </w:r>
      <w:r>
        <w:rPr>
          <w:rFonts w:ascii="仿宋_GB2312" w:hAnsi="方正仿宋_GBK" w:eastAsia="仿宋_GB2312" w:cs="仿宋_GB2312"/>
          <w:spacing w:val="-2"/>
          <w:sz w:val="36"/>
          <w:szCs w:val="36"/>
        </w:rPr>
        <w:t>5</w:t>
      </w:r>
      <w:r>
        <w:rPr>
          <w:rFonts w:hint="eastAsia" w:ascii="仿宋_GB2312" w:hAnsi="方正仿宋_GBK" w:eastAsia="仿宋_GB2312" w:cs="仿宋_GB2312"/>
          <w:spacing w:val="-2"/>
          <w:sz w:val="36"/>
          <w:szCs w:val="36"/>
        </w:rPr>
        <w:t>月</w:t>
      </w:r>
      <w:r>
        <w:rPr>
          <w:rFonts w:ascii="仿宋_GB2312" w:hAnsi="方正仿宋_GBK" w:eastAsia="仿宋_GB2312" w:cs="仿宋_GB2312"/>
          <w:spacing w:val="-2"/>
          <w:sz w:val="36"/>
          <w:szCs w:val="36"/>
        </w:rPr>
        <w:t>31</w:t>
      </w:r>
      <w:r>
        <w:rPr>
          <w:rFonts w:hint="eastAsia" w:ascii="仿宋_GB2312" w:hAnsi="方正仿宋_GBK" w:eastAsia="仿宋_GB2312" w:cs="仿宋_GB2312"/>
          <w:spacing w:val="-2"/>
          <w:sz w:val="36"/>
          <w:szCs w:val="36"/>
        </w:rPr>
        <w:t>日前报财政部，同时抄送财政部内蒙古监管局</w:t>
      </w:r>
      <w:r>
        <w:rPr>
          <w:rFonts w:hint="eastAsia" w:ascii="方正仿宋_GBK" w:hAnsi="方正仿宋_GBK" w:eastAsia="仿宋_GB2312" w:cs="仿宋_GB2312"/>
          <w:color w:val="000000"/>
          <w:spacing w:val="-2"/>
          <w:sz w:val="36"/>
          <w:szCs w:val="36"/>
        </w:rPr>
        <w:t>。</w:t>
      </w:r>
    </w:p>
    <w:p>
      <w:pPr>
        <w:spacing w:line="670" w:lineRule="exact"/>
        <w:ind w:firstLine="712" w:firstLineChars="200"/>
        <w:rPr>
          <w:rFonts w:hint="eastAsia" w:ascii="黑体" w:hAnsi="黑体" w:eastAsia="黑体" w:cs="黑体"/>
          <w:color w:val="000000"/>
          <w:spacing w:val="-2"/>
          <w:sz w:val="36"/>
          <w:szCs w:val="36"/>
          <w:lang w:eastAsia="zh-CN"/>
        </w:rPr>
      </w:pPr>
      <w:r>
        <w:rPr>
          <w:rFonts w:hint="eastAsia" w:ascii="黑体" w:hAnsi="黑体" w:eastAsia="黑体" w:cs="黑体"/>
          <w:spacing w:val="-2"/>
          <w:sz w:val="36"/>
          <w:szCs w:val="36"/>
        </w:rPr>
        <w:t>二、</w:t>
      </w:r>
      <w:r>
        <w:rPr>
          <w:rFonts w:hint="eastAsia" w:ascii="黑体" w:hAnsi="黑体" w:eastAsia="黑体" w:cs="黑体"/>
          <w:color w:val="000000"/>
          <w:spacing w:val="-2"/>
          <w:sz w:val="36"/>
          <w:szCs w:val="36"/>
          <w:lang w:eastAsia="zh-CN"/>
        </w:rPr>
        <w:t>绩效评价结果及运用</w:t>
      </w:r>
    </w:p>
    <w:p>
      <w:pPr>
        <w:spacing w:line="670" w:lineRule="exact"/>
        <w:ind w:firstLine="712" w:firstLineChars="200"/>
        <w:rPr>
          <w:rFonts w:ascii="方正仿宋_GBK" w:hAnsi="方正仿宋_GBK" w:eastAsia="仿宋_GB2312" w:cs="Times New Roman"/>
          <w:spacing w:val="-2"/>
          <w:sz w:val="36"/>
          <w:szCs w:val="36"/>
        </w:rPr>
      </w:pPr>
      <w:bookmarkStart w:id="1" w:name="_GoBack"/>
      <w:bookmarkEnd w:id="1"/>
      <w:r>
        <w:rPr>
          <w:rFonts w:hint="eastAsia" w:ascii="方正仿宋_GBK" w:hAnsi="方正仿宋_GBK" w:eastAsia="仿宋_GB2312" w:cs="仿宋_GB2312"/>
          <w:spacing w:val="-2"/>
          <w:sz w:val="36"/>
          <w:szCs w:val="36"/>
        </w:rPr>
        <w:t>各级财政部门应当建立健全农业保险保费补贴资金执行情况动态监控机制，定期或不定期自查本地区农业保险保费补贴工作。其中，根据具体工作情况，自治区财政厅对盟市和旗县（市、区）财政部门、森工集团、大青山国家级自然保护区管理局、各承保机构内蒙古分公司上报的绩效自评报告进行抽查复核，是建立完善我区农业保险保费补贴资金执行情况动态监控机制、定期或不定期自查农业保险保费补贴工作的重要手段。</w:t>
      </w:r>
    </w:p>
    <w:p>
      <w:pPr>
        <w:spacing w:line="670" w:lineRule="exact"/>
        <w:ind w:firstLine="712" w:firstLineChars="200"/>
        <w:rPr>
          <w:rFonts w:ascii="仿宋_GB2312" w:hAnsi="方正仿宋_GBK" w:eastAsia="仿宋_GB2312" w:cs="Times New Roman"/>
          <w:spacing w:val="-2"/>
          <w:sz w:val="36"/>
          <w:szCs w:val="36"/>
        </w:rPr>
      </w:pPr>
      <w:r>
        <w:rPr>
          <w:rFonts w:hint="eastAsia" w:ascii="方正仿宋_GBK" w:hAnsi="方正仿宋_GBK" w:eastAsia="仿宋_GB2312" w:cs="仿宋_GB2312"/>
          <w:spacing w:val="-2"/>
          <w:sz w:val="36"/>
          <w:szCs w:val="36"/>
        </w:rPr>
        <w:t>（一）绩效评</w:t>
      </w:r>
      <w:r>
        <w:rPr>
          <w:rFonts w:hint="eastAsia" w:ascii="仿宋_GB2312" w:hAnsi="方正仿宋_GBK" w:eastAsia="仿宋_GB2312" w:cs="仿宋_GB2312"/>
          <w:spacing w:val="-2"/>
          <w:sz w:val="36"/>
          <w:szCs w:val="36"/>
        </w:rPr>
        <w:t>价按照百分制进行评定。得分≥</w:t>
      </w:r>
      <w:r>
        <w:rPr>
          <w:rFonts w:ascii="仿宋_GB2312" w:hAnsi="方正仿宋_GBK" w:eastAsia="仿宋_GB2312" w:cs="仿宋_GB2312"/>
          <w:spacing w:val="-2"/>
          <w:sz w:val="36"/>
          <w:szCs w:val="36"/>
        </w:rPr>
        <w:t>85</w:t>
      </w:r>
      <w:r>
        <w:rPr>
          <w:rFonts w:hint="eastAsia" w:ascii="仿宋_GB2312" w:hAnsi="方正仿宋_GBK" w:eastAsia="仿宋_GB2312" w:cs="仿宋_GB2312"/>
          <w:spacing w:val="-2"/>
          <w:sz w:val="36"/>
          <w:szCs w:val="36"/>
        </w:rPr>
        <w:t>分，为优秀等次；</w:t>
      </w:r>
      <w:r>
        <w:rPr>
          <w:rFonts w:ascii="仿宋_GB2312" w:hAnsi="方正仿宋_GBK" w:eastAsia="仿宋_GB2312" w:cs="仿宋_GB2312"/>
          <w:spacing w:val="-2"/>
          <w:sz w:val="36"/>
          <w:szCs w:val="36"/>
        </w:rPr>
        <w:t>75</w:t>
      </w:r>
      <w:r>
        <w:rPr>
          <w:rFonts w:hint="eastAsia" w:ascii="仿宋_GB2312" w:hAnsi="方正仿宋_GBK" w:eastAsia="仿宋_GB2312" w:cs="仿宋_GB2312"/>
          <w:spacing w:val="-2"/>
          <w:sz w:val="36"/>
          <w:szCs w:val="36"/>
        </w:rPr>
        <w:t>分≤得分＜</w:t>
      </w:r>
      <w:r>
        <w:rPr>
          <w:rFonts w:ascii="仿宋_GB2312" w:hAnsi="方正仿宋_GBK" w:eastAsia="仿宋_GB2312" w:cs="仿宋_GB2312"/>
          <w:spacing w:val="-2"/>
          <w:sz w:val="36"/>
          <w:szCs w:val="36"/>
        </w:rPr>
        <w:t>85</w:t>
      </w:r>
      <w:r>
        <w:rPr>
          <w:rFonts w:hint="eastAsia" w:ascii="仿宋_GB2312" w:hAnsi="方正仿宋_GBK" w:eastAsia="仿宋_GB2312" w:cs="仿宋_GB2312"/>
          <w:spacing w:val="-2"/>
          <w:sz w:val="36"/>
          <w:szCs w:val="36"/>
        </w:rPr>
        <w:t>分，为良好等次；</w:t>
      </w:r>
      <w:r>
        <w:rPr>
          <w:rFonts w:ascii="仿宋_GB2312" w:hAnsi="方正仿宋_GBK" w:eastAsia="仿宋_GB2312" w:cs="仿宋_GB2312"/>
          <w:spacing w:val="-2"/>
          <w:sz w:val="36"/>
          <w:szCs w:val="36"/>
        </w:rPr>
        <w:t>60</w:t>
      </w:r>
      <w:r>
        <w:rPr>
          <w:rFonts w:hint="eastAsia" w:ascii="仿宋_GB2312" w:hAnsi="方正仿宋_GBK" w:eastAsia="仿宋_GB2312" w:cs="仿宋_GB2312"/>
          <w:spacing w:val="-2"/>
          <w:sz w:val="36"/>
          <w:szCs w:val="36"/>
        </w:rPr>
        <w:t>分≤得分＜</w:t>
      </w:r>
      <w:r>
        <w:rPr>
          <w:rFonts w:ascii="仿宋_GB2312" w:hAnsi="方正仿宋_GBK" w:eastAsia="仿宋_GB2312" w:cs="仿宋_GB2312"/>
          <w:spacing w:val="-2"/>
          <w:sz w:val="36"/>
          <w:szCs w:val="36"/>
        </w:rPr>
        <w:t>75</w:t>
      </w:r>
      <w:r>
        <w:rPr>
          <w:rFonts w:hint="eastAsia" w:ascii="仿宋_GB2312" w:hAnsi="方正仿宋_GBK" w:eastAsia="仿宋_GB2312" w:cs="仿宋_GB2312"/>
          <w:spacing w:val="-2"/>
          <w:sz w:val="36"/>
          <w:szCs w:val="36"/>
        </w:rPr>
        <w:t>分，为合格等次；得分＜</w:t>
      </w:r>
      <w:r>
        <w:rPr>
          <w:rFonts w:ascii="仿宋_GB2312" w:hAnsi="方正仿宋_GBK" w:eastAsia="仿宋_GB2312" w:cs="仿宋_GB2312"/>
          <w:spacing w:val="-2"/>
          <w:sz w:val="36"/>
          <w:szCs w:val="36"/>
        </w:rPr>
        <w:t>60</w:t>
      </w:r>
      <w:r>
        <w:rPr>
          <w:rFonts w:hint="eastAsia" w:ascii="仿宋_GB2312" w:hAnsi="方正仿宋_GBK" w:eastAsia="仿宋_GB2312" w:cs="仿宋_GB2312"/>
          <w:spacing w:val="-2"/>
          <w:sz w:val="36"/>
          <w:szCs w:val="36"/>
        </w:rPr>
        <w:t>分，为不合格等次。</w:t>
      </w:r>
    </w:p>
    <w:p>
      <w:pPr>
        <w:spacing w:line="670" w:lineRule="exact"/>
        <w:ind w:firstLine="712" w:firstLineChars="200"/>
        <w:rPr>
          <w:rFonts w:ascii="方正仿宋_GBK" w:hAnsi="方正仿宋_GBK" w:eastAsia="仿宋_GB2312" w:cs="Times New Roman"/>
          <w:spacing w:val="-2"/>
          <w:sz w:val="36"/>
          <w:szCs w:val="36"/>
        </w:rPr>
      </w:pPr>
      <w:r>
        <w:rPr>
          <w:rFonts w:hint="eastAsia" w:ascii="仿宋_GB2312" w:hAnsi="方正仿宋_GBK" w:eastAsia="仿宋_GB2312" w:cs="仿宋_GB2312"/>
          <w:spacing w:val="-2"/>
          <w:sz w:val="36"/>
          <w:szCs w:val="36"/>
        </w:rPr>
        <w:t>（二）对各盟市和旗县（市、区）、森工集团、大青山国家级自然保护区管理局的抽查结果，作为完善农业保险</w:t>
      </w:r>
      <w:r>
        <w:rPr>
          <w:rFonts w:hint="eastAsia" w:ascii="方正仿宋_GBK" w:hAnsi="方正仿宋_GBK" w:eastAsia="仿宋_GB2312" w:cs="仿宋_GB2312"/>
          <w:spacing w:val="-2"/>
          <w:sz w:val="36"/>
          <w:szCs w:val="36"/>
        </w:rPr>
        <w:t>政策、确定奖补额度、支持开展地方优势特色农畜产品保险的重要依据。</w:t>
      </w:r>
    </w:p>
    <w:p>
      <w:pPr>
        <w:spacing w:line="670" w:lineRule="exact"/>
        <w:ind w:firstLine="712" w:firstLineChars="200"/>
        <w:rPr>
          <w:rFonts w:ascii="仿宋_GB2312" w:hAnsi="方正仿宋_GBK" w:eastAsia="仿宋_GB2312" w:cs="Times New Roman"/>
          <w:spacing w:val="-2"/>
          <w:sz w:val="36"/>
          <w:szCs w:val="36"/>
        </w:rPr>
      </w:pPr>
      <w:r>
        <w:rPr>
          <w:rFonts w:ascii="仿宋_GB2312" w:hAnsi="方正仿宋_GBK" w:eastAsia="仿宋_GB2312" w:cs="仿宋_GB2312"/>
          <w:spacing w:val="-2"/>
          <w:sz w:val="36"/>
          <w:szCs w:val="36"/>
        </w:rPr>
        <w:t>1.</w:t>
      </w:r>
      <w:r>
        <w:rPr>
          <w:rFonts w:hint="eastAsia" w:ascii="仿宋_GB2312" w:hAnsi="方正仿宋_GBK" w:eastAsia="仿宋_GB2312" w:cs="仿宋_GB2312"/>
          <w:spacing w:val="-2"/>
          <w:sz w:val="36"/>
          <w:szCs w:val="36"/>
        </w:rPr>
        <w:t>中央财政安排的地方优势特色农畜产品保险奖补资金分配方面，对于优秀等次盟市和单位，在统筹考虑纳入自治区财政补贴范围的地方优势特色农畜产品保险规模的基础上，分配中央财政安排的地方优势特色农畜产品保险奖补资金时予以较大倾斜，对于良好等次予以一定倾斜，对于合格等次予以一定支持。</w:t>
      </w:r>
    </w:p>
    <w:p>
      <w:pPr>
        <w:spacing w:line="670" w:lineRule="exact"/>
        <w:ind w:firstLine="712" w:firstLineChars="200"/>
        <w:rPr>
          <w:rFonts w:ascii="仿宋_GB2312" w:hAnsi="方正仿宋_GBK" w:eastAsia="仿宋_GB2312" w:cs="Times New Roman"/>
          <w:spacing w:val="-2"/>
          <w:sz w:val="36"/>
          <w:szCs w:val="36"/>
        </w:rPr>
      </w:pPr>
      <w:r>
        <w:rPr>
          <w:rFonts w:ascii="仿宋_GB2312" w:hAnsi="方正仿宋_GBK" w:eastAsia="仿宋_GB2312" w:cs="仿宋_GB2312"/>
          <w:spacing w:val="-2"/>
          <w:sz w:val="36"/>
          <w:szCs w:val="36"/>
        </w:rPr>
        <w:t>2.</w:t>
      </w:r>
      <w:r>
        <w:rPr>
          <w:rFonts w:hint="eastAsia" w:ascii="仿宋_GB2312" w:hAnsi="方正仿宋_GBK" w:eastAsia="仿宋_GB2312" w:cs="仿宋_GB2312"/>
          <w:spacing w:val="-2"/>
          <w:sz w:val="36"/>
          <w:szCs w:val="36"/>
        </w:rPr>
        <w:t>自治区财政定额奖补方面，对于优秀等次盟市和单位，在自治区应承担的补贴比例以外，自治区财政定额奖补</w:t>
      </w:r>
      <w:r>
        <w:rPr>
          <w:rFonts w:ascii="仿宋_GB2312" w:hAnsi="方正仿宋_GBK" w:eastAsia="仿宋_GB2312" w:cs="仿宋_GB2312"/>
          <w:spacing w:val="-2"/>
          <w:sz w:val="36"/>
          <w:szCs w:val="36"/>
        </w:rPr>
        <w:t>500</w:t>
      </w:r>
      <w:r>
        <w:rPr>
          <w:rFonts w:hint="eastAsia" w:ascii="仿宋_GB2312" w:hAnsi="方正仿宋_GBK" w:eastAsia="仿宋_GB2312" w:cs="仿宋_GB2312"/>
          <w:spacing w:val="-2"/>
          <w:sz w:val="36"/>
          <w:szCs w:val="36"/>
        </w:rPr>
        <w:t>万元；对于良好等次，自治区定额奖补</w:t>
      </w:r>
      <w:r>
        <w:rPr>
          <w:rFonts w:ascii="仿宋_GB2312" w:hAnsi="方正仿宋_GBK" w:eastAsia="仿宋_GB2312" w:cs="仿宋_GB2312"/>
          <w:spacing w:val="-2"/>
          <w:sz w:val="36"/>
          <w:szCs w:val="36"/>
        </w:rPr>
        <w:t>200</w:t>
      </w:r>
      <w:r>
        <w:rPr>
          <w:rFonts w:hint="eastAsia" w:ascii="仿宋_GB2312" w:hAnsi="方正仿宋_GBK" w:eastAsia="仿宋_GB2312" w:cs="仿宋_GB2312"/>
          <w:spacing w:val="-2"/>
          <w:sz w:val="36"/>
          <w:szCs w:val="36"/>
        </w:rPr>
        <w:t>万元；对于合格等次，自治区按照应承担的补贴比例进行补贴，不再额外奖补。</w:t>
      </w:r>
    </w:p>
    <w:p>
      <w:pPr>
        <w:spacing w:line="670" w:lineRule="exact"/>
        <w:ind w:firstLine="712" w:firstLineChars="200"/>
        <w:rPr>
          <w:rFonts w:ascii="仿宋_GB2312" w:hAnsi="方正仿宋_GBK" w:eastAsia="仿宋_GB2312" w:cs="Times New Roman"/>
          <w:spacing w:val="-2"/>
          <w:sz w:val="36"/>
          <w:szCs w:val="36"/>
        </w:rPr>
      </w:pPr>
      <w:r>
        <w:rPr>
          <w:rFonts w:ascii="仿宋_GB2312" w:hAnsi="方正仿宋_GBK" w:eastAsia="仿宋_GB2312" w:cs="仿宋_GB2312"/>
          <w:spacing w:val="-2"/>
          <w:sz w:val="36"/>
          <w:szCs w:val="36"/>
        </w:rPr>
        <w:t>3.</w:t>
      </w:r>
      <w:r>
        <w:rPr>
          <w:rFonts w:hint="eastAsia" w:ascii="方正仿宋_GBK" w:hAnsi="方正仿宋_GBK" w:eastAsia="仿宋_GB2312" w:cs="仿宋_GB2312"/>
          <w:spacing w:val="-2"/>
          <w:sz w:val="36"/>
          <w:szCs w:val="36"/>
        </w:rPr>
        <w:t>对于不合格等次</w:t>
      </w:r>
      <w:r>
        <w:rPr>
          <w:rFonts w:hint="eastAsia" w:ascii="仿宋_GB2312" w:hAnsi="方正仿宋_GBK" w:eastAsia="仿宋_GB2312" w:cs="仿宋_GB2312"/>
          <w:spacing w:val="-2"/>
          <w:sz w:val="36"/>
          <w:szCs w:val="36"/>
        </w:rPr>
        <w:t>盟市和单位</w:t>
      </w:r>
      <w:r>
        <w:rPr>
          <w:rFonts w:hint="eastAsia" w:ascii="方正仿宋_GBK" w:hAnsi="方正仿宋_GBK" w:eastAsia="仿宋_GB2312" w:cs="仿宋_GB2312"/>
          <w:spacing w:val="-2"/>
          <w:sz w:val="36"/>
          <w:szCs w:val="36"/>
        </w:rPr>
        <w:t>，不予分配中央和自治区奖补资金。</w:t>
      </w:r>
    </w:p>
    <w:p>
      <w:pPr>
        <w:spacing w:line="670" w:lineRule="exact"/>
        <w:ind w:firstLine="712" w:firstLineChars="200"/>
        <w:rPr>
          <w:rFonts w:ascii="仿宋_GB2312" w:hAnsi="方正仿宋_GBK" w:eastAsia="仿宋_GB2312" w:cs="Times New Roman"/>
          <w:spacing w:val="-2"/>
          <w:sz w:val="36"/>
          <w:szCs w:val="36"/>
        </w:rPr>
      </w:pPr>
      <w:r>
        <w:rPr>
          <w:rFonts w:hint="eastAsia" w:ascii="仿宋_GB2312" w:hAnsi="方正仿宋_GBK" w:eastAsia="仿宋_GB2312" w:cs="仿宋_GB2312"/>
          <w:spacing w:val="-2"/>
          <w:sz w:val="36"/>
          <w:szCs w:val="36"/>
        </w:rPr>
        <w:t>相关盟市和单位可将中央和自治区奖补资金统筹用于获得自治区财政补贴的地方优势特色农畜产品保险的盟市、旗县（市、区）或单位配套部分。</w:t>
      </w:r>
    </w:p>
    <w:p>
      <w:pPr>
        <w:spacing w:line="670" w:lineRule="exact"/>
        <w:ind w:firstLine="712" w:firstLineChars="200"/>
        <w:rPr>
          <w:rFonts w:ascii="方正仿宋_GBK" w:hAnsi="方正仿宋_GBK" w:eastAsia="仿宋_GB2312" w:cs="Times New Roman"/>
          <w:spacing w:val="-2"/>
          <w:sz w:val="36"/>
          <w:szCs w:val="36"/>
        </w:rPr>
      </w:pPr>
      <w:r>
        <w:rPr>
          <w:rFonts w:hint="eastAsia" w:ascii="方正仿宋_GBK" w:hAnsi="方正仿宋_GBK" w:eastAsia="仿宋_GB2312" w:cs="仿宋_GB2312"/>
          <w:spacing w:val="-2"/>
          <w:sz w:val="36"/>
          <w:szCs w:val="36"/>
        </w:rPr>
        <w:t>不合格等次地区和单位要积极进行整改。对于整改不力的地区或单位将通报批评，酌情取消其已有的自治区财政补贴的地方优势特色农畜产品保险资格，原则上暂停其申报新增自治区财政补贴的地方优势特色农畜产品保险</w:t>
      </w:r>
      <w:r>
        <w:rPr>
          <w:rFonts w:hint="eastAsia" w:ascii="仿宋_GB2312" w:hAnsi="方正仿宋_GBK" w:eastAsia="仿宋_GB2312" w:cs="仿宋_GB2312"/>
          <w:spacing w:val="-2"/>
          <w:sz w:val="36"/>
          <w:szCs w:val="36"/>
        </w:rPr>
        <w:t>资格</w:t>
      </w:r>
      <w:r>
        <w:rPr>
          <w:rFonts w:ascii="仿宋_GB2312" w:hAnsi="方正仿宋_GBK" w:eastAsia="仿宋_GB2312" w:cs="仿宋_GB2312"/>
          <w:spacing w:val="-2"/>
          <w:sz w:val="36"/>
          <w:szCs w:val="36"/>
        </w:rPr>
        <w:t>1</w:t>
      </w:r>
      <w:r>
        <w:rPr>
          <w:rFonts w:hint="eastAsia" w:ascii="仿宋_GB2312" w:hAnsi="方正仿宋_GBK" w:eastAsia="仿宋_GB2312" w:cs="仿宋_GB2312"/>
          <w:spacing w:val="-2"/>
          <w:sz w:val="36"/>
          <w:szCs w:val="36"/>
        </w:rPr>
        <w:t>年。</w:t>
      </w:r>
    </w:p>
    <w:p>
      <w:pPr>
        <w:spacing w:line="670" w:lineRule="exact"/>
        <w:ind w:firstLine="712" w:firstLineChars="200"/>
        <w:rPr>
          <w:rFonts w:ascii="方正仿宋_GBK" w:hAnsi="方正仿宋_GBK" w:eastAsia="仿宋_GB2312" w:cs="Times New Roman"/>
          <w:spacing w:val="-2"/>
          <w:sz w:val="36"/>
          <w:szCs w:val="36"/>
        </w:rPr>
      </w:pPr>
      <w:r>
        <w:rPr>
          <w:rFonts w:hint="eastAsia" w:ascii="方正仿宋_GBK" w:hAnsi="方正仿宋_GBK" w:eastAsia="仿宋_GB2312" w:cs="仿宋_GB2312"/>
          <w:spacing w:val="-2"/>
          <w:sz w:val="36"/>
          <w:szCs w:val="36"/>
        </w:rPr>
        <w:t>对于没有抽查到的盟市、旗县（市、区）和单位，在统筹考虑纳入自治区财政补贴范围的地方优势特色农畜产品保险规模的基础上，分配中央财政安排的地方优势特色农畜产品保险奖补资金时参照良好等次予以支持；自治区财政不予奖补。相关盟市和单位可将中央奖补资金统筹用于获得自治区财政补贴的地方优势特色农畜产品保险的盟市、旗县（市、区）或单位配套部分。</w:t>
      </w:r>
    </w:p>
    <w:p>
      <w:pPr>
        <w:spacing w:line="670" w:lineRule="exact"/>
        <w:ind w:firstLine="712" w:firstLineChars="200"/>
        <w:rPr>
          <w:rFonts w:ascii="方正仿宋_GBK" w:hAnsi="方正仿宋_GBK" w:eastAsia="仿宋_GB2312" w:cs="Times New Roman"/>
          <w:spacing w:val="-2"/>
          <w:sz w:val="36"/>
          <w:szCs w:val="36"/>
        </w:rPr>
      </w:pPr>
      <w:r>
        <w:rPr>
          <w:rFonts w:hint="eastAsia" w:ascii="方正仿宋_GBK" w:hAnsi="方正仿宋_GBK" w:eastAsia="仿宋_GB2312" w:cs="仿宋_GB2312"/>
          <w:spacing w:val="-2"/>
          <w:sz w:val="36"/>
          <w:szCs w:val="36"/>
        </w:rPr>
        <w:t>（三）对各承保机构的抽查结果，与承保机构服务期间内的承保资格、公开招标遴选评分体系等相挂钩。</w:t>
      </w:r>
    </w:p>
    <w:p>
      <w:pPr>
        <w:spacing w:line="670" w:lineRule="exact"/>
        <w:rPr>
          <w:rFonts w:ascii="Times New Roman" w:hAnsi="Times New Roman" w:eastAsia="Times New Roman" w:cs="Times New Roman"/>
          <w:sz w:val="36"/>
          <w:szCs w:val="36"/>
        </w:rPr>
        <w:sectPr>
          <w:footerReference r:id="rId3" w:type="default"/>
          <w:pgSz w:w="11906" w:h="16838"/>
          <w:pgMar w:top="2098" w:right="1531" w:bottom="1871" w:left="1531" w:header="851" w:footer="1644" w:gutter="0"/>
          <w:cols w:space="425" w:num="1"/>
          <w:docGrid w:type="lines" w:linePitch="312" w:charSpace="0"/>
        </w:sectPr>
      </w:pPr>
    </w:p>
    <w:p>
      <w:pPr>
        <w:sectPr>
          <w:pgSz w:w="16838" w:h="11906" w:orient="landscape"/>
          <w:pgMar w:top="1800" w:right="1440" w:bottom="1800" w:left="1440" w:header="851" w:footer="992" w:gutter="0"/>
          <w:cols w:space="425" w:num="1"/>
          <w:docGrid w:type="lines" w:linePitch="312" w:charSpace="0"/>
        </w:sectPr>
      </w:pPr>
      <w:r>
        <w:pict>
          <v:shape id="_x0000_s1027" o:spid="_x0000_s1027" o:spt="75" type="#_x0000_t75" style="position:absolute;left:0pt;margin-left:-31.5pt;margin-top:11.55pt;height:397.45pt;width:762.15pt;z-index:251658240;mso-width-relative:page;mso-height-relative:page;" o:ole="t" filled="f" o:preferrelative="t" stroked="f" coordsize="21600,21600">
            <v:path/>
            <v:fill on="f" focussize="0,0"/>
            <v:stroke on="f" joinstyle="miter"/>
            <v:imagedata r:id="rId6" o:title=""/>
            <o:lock v:ext="edit" aspectratio="t"/>
          </v:shape>
          <o:OLEObject Type="Embed" ProgID="Excel.Sheet.8" ShapeID="_x0000_s1027" DrawAspect="Content" ObjectID="_1468075725" r:id="rId5">
            <o:LockedField>false</o:LockedField>
          </o:OLEObject>
        </w:pict>
      </w:r>
    </w:p>
    <w:p>
      <w:pPr>
        <w:sectPr>
          <w:pgSz w:w="16838" w:h="11906" w:orient="landscape"/>
          <w:pgMar w:top="1800" w:right="1440" w:bottom="1800" w:left="1440" w:header="851" w:footer="992" w:gutter="0"/>
          <w:cols w:space="425" w:num="1"/>
          <w:docGrid w:type="lines" w:linePitch="312" w:charSpace="0"/>
        </w:sectPr>
      </w:pPr>
      <w:r>
        <w:pict>
          <v:shape id="_x0000_s1028" o:spid="_x0000_s1028" o:spt="75" type="#_x0000_t75" style="position:absolute;left:0pt;margin-left:-33pt;margin-top:-43.05pt;height:495.95pt;width:790.55pt;z-index:251658240;mso-width-relative:page;mso-height-relative:page;" o:ole="t" filled="f" o:preferrelative="t" stroked="f" coordsize="21600,21600">
            <v:path/>
            <v:fill on="f" focussize="0,0"/>
            <v:stroke on="f" joinstyle="miter"/>
            <v:imagedata r:id="rId8" o:title=""/>
            <o:lock v:ext="edit" aspectratio="t"/>
          </v:shape>
          <o:OLEObject Type="Embed" ProgID="Excel.Sheet.8" ShapeID="_x0000_s1028" DrawAspect="Content" ObjectID="_1468075726" r:id="rId7">
            <o:LockedField>false</o:LockedField>
          </o:OLEObject>
        </w:pict>
      </w:r>
    </w:p>
    <w:p>
      <w:r>
        <w:pict>
          <v:shape id="_x0000_s1029" o:spid="_x0000_s1029" o:spt="75" type="#_x0000_t75" style="position:absolute;left:0pt;margin-left:-29.25pt;margin-top:4.75pt;height:480.05pt;width:648.1pt;z-index:251657216;mso-width-relative:page;mso-height-relative:page;" o:ole="t" filled="f" o:preferrelative="t" stroked="f" coordsize="21600,21600">
            <v:path/>
            <v:fill on="f" focussize="0,0"/>
            <v:stroke on="f" joinstyle="miter"/>
            <v:imagedata r:id="rId10" o:title=""/>
            <o:lock v:ext="edit" aspectratio="t"/>
          </v:shape>
          <o:OLEObject Type="Embed" ProgID="Excel.Sheet.12" ShapeID="_x0000_s1029" DrawAspect="Content" ObjectID="_1468075727" r:id="rId9">
            <o:LockedField>false</o:LockedField>
          </o:OLEObject>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楷体-GB18030">
    <w:panose1 w:val="02000500000000000000"/>
    <w:charset w:val="86"/>
    <w:family w:val="auto"/>
    <w:pitch w:val="default"/>
    <w:sig w:usb0="A00002BF" w:usb1="38CF7CFA"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宋体" w:hAnsi="宋体"/>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6</w:t>
                </w:r>
                <w:r>
                  <w:rPr>
                    <w:rFonts w:ascii="宋体" w:hAnsi="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D93B326"/>
    <w:rsid w:val="005F1960"/>
    <w:rsid w:val="00762592"/>
    <w:rsid w:val="00875F30"/>
    <w:rsid w:val="008B7A5F"/>
    <w:rsid w:val="00EC6DE8"/>
    <w:rsid w:val="19A74EFF"/>
    <w:rsid w:val="3D93B326"/>
    <w:rsid w:val="5F7F59D6"/>
    <w:rsid w:val="5FFDF374"/>
    <w:rsid w:val="6FF673AD"/>
    <w:rsid w:val="701A4A30"/>
    <w:rsid w:val="797D89F9"/>
    <w:rsid w:val="7AFBDA07"/>
    <w:rsid w:val="7AFF4A06"/>
    <w:rsid w:val="7DAF9120"/>
    <w:rsid w:val="7EBF6574"/>
    <w:rsid w:val="7EFD8C97"/>
    <w:rsid w:val="7FCDE8F7"/>
    <w:rsid w:val="7FD67CAC"/>
    <w:rsid w:val="B7FAB787"/>
    <w:rsid w:val="BAFD8A4B"/>
    <w:rsid w:val="BFCFA756"/>
    <w:rsid w:val="F3F7C0C6"/>
    <w:rsid w:val="F8DD4ED0"/>
    <w:rsid w:val="FBF76B75"/>
    <w:rsid w:val="FEC780BC"/>
    <w:rsid w:val="FFEC0D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6">
    <w:name w:val="Footer Char"/>
    <w:basedOn w:val="5"/>
    <w:link w:val="2"/>
    <w:semiHidden/>
    <w:qFormat/>
    <w:uiPriority w:val="99"/>
    <w:rPr>
      <w:rFonts w:cs="Calibri"/>
      <w:sz w:val="18"/>
      <w:szCs w:val="18"/>
    </w:rPr>
  </w:style>
  <w:style w:type="character" w:customStyle="1" w:styleId="7">
    <w:name w:val="Header Char"/>
    <w:basedOn w:val="5"/>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8</Pages>
  <Words>303</Words>
  <Characters>1731</Characters>
  <Lines>0</Lines>
  <Paragraphs>0</Paragraphs>
  <TotalTime>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2023-01-20T09:48:00Z</dcterms:created>
  <dc:creator>布仁</dc:creator>
  <cp:lastModifiedBy>尹娜</cp:lastModifiedBy>
  <dcterms:modified xsi:type="dcterms:W3CDTF">2023-02-13T09:03:47Z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E83931E8E986BC207AFEC563A36F697F</vt:lpwstr>
  </property>
</Properties>
</file>