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7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6</w:t>
      </w:r>
    </w:p>
    <w:p>
      <w:pPr>
        <w:spacing w:line="670" w:lineRule="exact"/>
        <w:jc w:val="center"/>
        <w:rPr>
          <w:rFonts w:ascii="方正小标宋简体" w:hAnsi="方正小标宋简体" w:eastAsia="方正小标宋简体" w:cs="Times New Roman"/>
          <w:color w:val="000000"/>
          <w:sz w:val="48"/>
          <w:szCs w:val="48"/>
        </w:rPr>
      </w:pPr>
      <w:r>
        <w:rPr>
          <w:rFonts w:hint="eastAsia" w:ascii="方正小标宋简体" w:hAnsi="方正小标宋简体" w:eastAsia="方正小标宋简体" w:cs="方正小标宋简体"/>
          <w:color w:val="000000"/>
          <w:sz w:val="48"/>
          <w:szCs w:val="48"/>
        </w:rPr>
        <w:t>内蒙古自治区农业保险</w:t>
      </w:r>
    </w:p>
    <w:p>
      <w:pPr>
        <w:spacing w:line="670" w:lineRule="exact"/>
        <w:jc w:val="center"/>
        <w:rPr>
          <w:rFonts w:hint="eastAsia" w:ascii="方正小标宋简体" w:hAnsi="方正小标宋简体" w:eastAsia="方正小标宋简体" w:cs="Times New Roman"/>
          <w:color w:val="000000"/>
          <w:sz w:val="48"/>
          <w:szCs w:val="48"/>
          <w:lang w:eastAsia="zh-CN"/>
        </w:rPr>
      </w:pPr>
      <w:r>
        <w:rPr>
          <w:rFonts w:hint="eastAsia" w:ascii="方正小标宋简体" w:hAnsi="方正小标宋简体" w:eastAsia="方正小标宋简体" w:cs="方正小标宋简体"/>
          <w:color w:val="000000"/>
          <w:sz w:val="48"/>
          <w:szCs w:val="48"/>
        </w:rPr>
        <w:t>承保机构管理</w:t>
      </w:r>
      <w:r>
        <w:rPr>
          <w:rFonts w:hint="eastAsia" w:ascii="方正小标宋简体" w:hAnsi="方正小标宋简体" w:eastAsia="方正小标宋简体" w:cs="方正小标宋简体"/>
          <w:color w:val="000000"/>
          <w:sz w:val="48"/>
          <w:szCs w:val="48"/>
          <w:lang w:eastAsia="zh-CN"/>
        </w:rPr>
        <w:t>流程</w:t>
      </w:r>
      <w:bookmarkStart w:id="1" w:name="_GoBack"/>
      <w:bookmarkEnd w:id="1"/>
    </w:p>
    <w:p>
      <w:pPr>
        <w:spacing w:line="670" w:lineRule="exact"/>
        <w:jc w:val="center"/>
        <w:rPr>
          <w:rFonts w:ascii="方正小标宋简体" w:hAnsi="方正小标宋简体" w:eastAsia="方正小标宋简体" w:cs="Times New Roman"/>
          <w:color w:val="000000"/>
          <w:sz w:val="44"/>
          <w:szCs w:val="44"/>
        </w:rPr>
      </w:pPr>
    </w:p>
    <w:p>
      <w:pPr>
        <w:spacing w:line="670" w:lineRule="exact"/>
        <w:ind w:firstLine="720" w:firstLineChars="200"/>
        <w:rPr>
          <w:rFonts w:ascii="黑体" w:hAnsi="黑体" w:eastAsia="黑体" w:cs="Times New Roman"/>
          <w:b/>
          <w:bCs/>
          <w:color w:val="000000"/>
          <w:sz w:val="36"/>
          <w:szCs w:val="36"/>
        </w:rPr>
      </w:pPr>
      <w:r>
        <w:rPr>
          <w:rFonts w:hint="eastAsia" w:ascii="黑体" w:hAnsi="黑体" w:eastAsia="黑体" w:cs="黑体"/>
          <w:color w:val="000000"/>
          <w:sz w:val="36"/>
          <w:szCs w:val="36"/>
        </w:rPr>
        <w:t>一、承保机构遴选层级、遴选方式、承保期限和机构数量</w:t>
      </w:r>
    </w:p>
    <w:p>
      <w:pPr>
        <w:spacing w:line="670" w:lineRule="exact"/>
        <w:ind w:firstLine="720" w:firstLineChars="200"/>
        <w:rPr>
          <w:rFonts w:ascii="方正仿宋_GBK" w:hAnsi="方正仿宋_GBK" w:eastAsia="仿宋_GB2312" w:cs="Times New Roman"/>
          <w:sz w:val="36"/>
          <w:szCs w:val="36"/>
        </w:rPr>
      </w:pPr>
      <w:r>
        <w:rPr>
          <w:rFonts w:hint="eastAsia" w:ascii="方正仿宋_GBK" w:hAnsi="方正仿宋_GBK" w:eastAsia="仿宋_GB2312" w:cs="仿宋_GB2312"/>
          <w:color w:val="000000"/>
          <w:sz w:val="36"/>
          <w:szCs w:val="36"/>
        </w:rPr>
        <w:t>中央财政补贴的种植险和森林险、自治区财</w:t>
      </w:r>
      <w:r>
        <w:rPr>
          <w:rFonts w:hint="eastAsia" w:ascii="方正仿宋_GBK" w:hAnsi="方正仿宋_GBK" w:eastAsia="仿宋_GB2312" w:cs="仿宋_GB2312"/>
          <w:sz w:val="36"/>
          <w:szCs w:val="36"/>
        </w:rPr>
        <w:t>政补贴的草原险由自治区农业保险工作小组组织承保机构遴选</w:t>
      </w:r>
      <w:bookmarkStart w:id="0" w:name="_Hlk118190165"/>
      <w:r>
        <w:rPr>
          <w:rFonts w:hint="eastAsia" w:ascii="方正仿宋_GBK" w:hAnsi="方正仿宋_GBK" w:eastAsia="仿宋_GB2312" w:cs="仿宋_GB2312"/>
          <w:sz w:val="36"/>
          <w:szCs w:val="36"/>
        </w:rPr>
        <w:t>（自治区农业保险工作小组目前负责遴选产粮大县和部分保费规模较大的农场局、旗县市区，其余地区继续保持现有承保机构，今后根据工作实际情况调整）</w:t>
      </w:r>
      <w:bookmarkEnd w:id="0"/>
      <w:r>
        <w:rPr>
          <w:rFonts w:hint="eastAsia" w:ascii="方正仿宋_GBK" w:hAnsi="方正仿宋_GBK" w:eastAsia="仿宋_GB2312" w:cs="仿宋_GB2312"/>
          <w:sz w:val="36"/>
          <w:szCs w:val="36"/>
        </w:rPr>
        <w:t>，中央财政补贴的养殖险由盟市农业保险工作小组组织承保机构遴选，自治区财政补贴的地方优势特色农畜产品保险原则上由盟市或者旗县（市、区）农业保险工作小组组织承保机构遴选。</w:t>
      </w:r>
    </w:p>
    <w:p>
      <w:pPr>
        <w:spacing w:line="670" w:lineRule="exact"/>
        <w:ind w:firstLine="720" w:firstLineChars="200"/>
        <w:rPr>
          <w:rFonts w:ascii="仿宋_GB2312" w:hAnsi="方正仿宋_GBK" w:eastAsia="仿宋_GB2312" w:cs="Times New Roman"/>
          <w:sz w:val="36"/>
          <w:szCs w:val="36"/>
        </w:rPr>
      </w:pPr>
      <w:r>
        <w:rPr>
          <w:rFonts w:hint="eastAsia" w:ascii="方正仿宋_GBK" w:hAnsi="方正仿宋_GBK" w:eastAsia="仿宋_GB2312" w:cs="仿宋_GB2312"/>
          <w:sz w:val="36"/>
          <w:szCs w:val="36"/>
        </w:rPr>
        <w:t>自治区农业保险工作</w:t>
      </w:r>
      <w:r>
        <w:rPr>
          <w:rFonts w:hint="eastAsia" w:ascii="仿宋_GB2312" w:hAnsi="方正仿宋_GBK" w:eastAsia="仿宋_GB2312" w:cs="仿宋_GB2312"/>
          <w:sz w:val="36"/>
          <w:szCs w:val="36"/>
        </w:rPr>
        <w:t>小组遴选中央财政补贴的种植险的承保机构采用公开招标的方式，原则上服务期限为</w:t>
      </w:r>
      <w:r>
        <w:rPr>
          <w:rFonts w:ascii="仿宋_GB2312" w:hAnsi="方正仿宋_GBK" w:eastAsia="仿宋_GB2312" w:cs="仿宋_GB2312"/>
          <w:sz w:val="36"/>
          <w:szCs w:val="36"/>
        </w:rPr>
        <w:t>3</w:t>
      </w:r>
      <w:r>
        <w:rPr>
          <w:rFonts w:hint="eastAsia" w:ascii="仿宋_GB2312" w:hAnsi="方正仿宋_GBK" w:eastAsia="仿宋_GB2312" w:cs="仿宋_GB2312"/>
          <w:sz w:val="36"/>
          <w:szCs w:val="36"/>
        </w:rPr>
        <w:t>年、每个旗县（市、区）由</w:t>
      </w:r>
      <w:r>
        <w:rPr>
          <w:rFonts w:ascii="仿宋_GB2312" w:hAnsi="方正仿宋_GBK" w:eastAsia="仿宋_GB2312" w:cs="仿宋_GB2312"/>
          <w:sz w:val="36"/>
          <w:szCs w:val="36"/>
        </w:rPr>
        <w:t>2</w:t>
      </w:r>
      <w:r>
        <w:rPr>
          <w:rFonts w:hint="eastAsia" w:ascii="仿宋_GB2312" w:hAnsi="方正仿宋_GBK" w:eastAsia="仿宋_GB2312" w:cs="仿宋_GB2312"/>
          <w:sz w:val="36"/>
          <w:szCs w:val="36"/>
        </w:rPr>
        <w:t>家承保机构进行承保，形成适度竞争；自治区农业保险工作小组遴选中央财政补贴的森林险和自治区财政补贴的草原险的承保机构采用公开招标的方式，原则上服务期限为</w:t>
      </w:r>
      <w:r>
        <w:rPr>
          <w:rFonts w:ascii="仿宋_GB2312" w:hAnsi="方正仿宋_GBK" w:eastAsia="仿宋_GB2312" w:cs="仿宋_GB2312"/>
          <w:sz w:val="36"/>
          <w:szCs w:val="36"/>
        </w:rPr>
        <w:t>3</w:t>
      </w:r>
      <w:r>
        <w:rPr>
          <w:rFonts w:hint="eastAsia" w:ascii="仿宋_GB2312" w:hAnsi="方正仿宋_GBK" w:eastAsia="仿宋_GB2312" w:cs="仿宋_GB2312"/>
          <w:sz w:val="36"/>
          <w:szCs w:val="36"/>
        </w:rPr>
        <w:t>年、根据实际情况划分承保机构承保区域。盟市、旗县（市、区）可参照上述方式，根据实际情况、合法合规遴选承保机构。</w:t>
      </w:r>
    </w:p>
    <w:p>
      <w:pPr>
        <w:spacing w:line="670" w:lineRule="exact"/>
        <w:ind w:firstLine="720" w:firstLineChars="200"/>
        <w:rPr>
          <w:rFonts w:ascii="黑体" w:hAnsi="黑体" w:eastAsia="黑体" w:cs="Times New Roman"/>
          <w:color w:val="000000"/>
          <w:sz w:val="36"/>
          <w:szCs w:val="36"/>
        </w:rPr>
      </w:pPr>
      <w:r>
        <w:rPr>
          <w:rFonts w:hint="eastAsia" w:ascii="黑体" w:hAnsi="黑体" w:eastAsia="黑体" w:cs="黑体"/>
          <w:color w:val="000000"/>
          <w:sz w:val="36"/>
          <w:szCs w:val="36"/>
        </w:rPr>
        <w:t>二、承保信息报送与共享</w:t>
      </w:r>
    </w:p>
    <w:p>
      <w:pPr>
        <w:spacing w:line="670" w:lineRule="exact"/>
        <w:ind w:firstLine="720" w:firstLineChars="200"/>
        <w:rPr>
          <w:rFonts w:ascii="方正仿宋_GBK" w:hAnsi="方正仿宋_GBK" w:eastAsia="仿宋_GB2312" w:cs="Times New Roman"/>
          <w:color w:val="000000"/>
          <w:sz w:val="36"/>
          <w:szCs w:val="36"/>
        </w:rPr>
      </w:pPr>
      <w:r>
        <w:rPr>
          <w:rFonts w:hint="eastAsia" w:ascii="方正仿宋_GBK" w:hAnsi="方正仿宋_GBK" w:eastAsia="仿宋_GB2312" w:cs="仿宋_GB2312"/>
          <w:color w:val="000000"/>
          <w:sz w:val="36"/>
          <w:szCs w:val="36"/>
        </w:rPr>
        <w:t>财政部依托中国农再建设全国农业保险数据信息系统</w:t>
      </w:r>
      <w:r>
        <w:rPr>
          <w:rFonts w:ascii="方正仿宋_GBK" w:hAnsi="方正仿宋_GBK" w:eastAsia="仿宋_GB2312" w:cs="方正仿宋_GBK"/>
          <w:color w:val="000000"/>
          <w:sz w:val="36"/>
          <w:szCs w:val="36"/>
        </w:rPr>
        <w:t>(</w:t>
      </w:r>
      <w:r>
        <w:rPr>
          <w:rFonts w:hint="eastAsia" w:ascii="方正仿宋_GBK" w:hAnsi="方正仿宋_GBK" w:eastAsia="仿宋_GB2312" w:cs="仿宋_GB2312"/>
          <w:color w:val="000000"/>
          <w:sz w:val="36"/>
          <w:szCs w:val="36"/>
        </w:rPr>
        <w:t>以下简称信息系统</w:t>
      </w:r>
      <w:r>
        <w:rPr>
          <w:rFonts w:ascii="方正仿宋_GBK" w:hAnsi="方正仿宋_GBK" w:eastAsia="仿宋_GB2312" w:cs="方正仿宋_GBK"/>
          <w:color w:val="000000"/>
          <w:sz w:val="36"/>
          <w:szCs w:val="36"/>
        </w:rPr>
        <w:t>)</w:t>
      </w:r>
      <w:r>
        <w:rPr>
          <w:rFonts w:hint="eastAsia" w:ascii="方正仿宋_GBK" w:hAnsi="方正仿宋_GBK" w:eastAsia="仿宋_GB2312" w:cs="仿宋_GB2312"/>
          <w:color w:val="000000"/>
          <w:sz w:val="36"/>
          <w:szCs w:val="36"/>
          <w:lang w:eastAsia="zh-CN"/>
        </w:rPr>
        <w:t>，</w:t>
      </w:r>
      <w:r>
        <w:rPr>
          <w:rFonts w:hint="eastAsia" w:ascii="方正仿宋_GBK" w:hAnsi="方正仿宋_GBK" w:eastAsia="仿宋_GB2312" w:cs="仿宋_GB2312"/>
          <w:color w:val="000000"/>
          <w:sz w:val="36"/>
          <w:szCs w:val="36"/>
        </w:rPr>
        <w:t>承保机构应当将农业保险核心业务系统与中国农再和自治区农业保险管理平台对接，及时、完整、准确报送农业保险数据信息。自治区农业保险管理平台与自治区本级财政、农牧、林草、内蒙古银保监局、气象和盟市、旗县（市、区）相关部门共享信息。信息系统属地数据真实性由各级农业保险工作小组共同负责监督。</w:t>
      </w:r>
    </w:p>
    <w:p>
      <w:pPr>
        <w:spacing w:line="670" w:lineRule="exact"/>
        <w:ind w:firstLine="720" w:firstLineChars="200"/>
        <w:rPr>
          <w:rFonts w:ascii="黑体" w:hAnsi="黑体" w:eastAsia="黑体" w:cs="Times New Roman"/>
          <w:color w:val="000000"/>
          <w:sz w:val="36"/>
          <w:szCs w:val="36"/>
        </w:rPr>
      </w:pPr>
      <w:r>
        <w:rPr>
          <w:rFonts w:hint="eastAsia" w:ascii="黑体" w:hAnsi="黑体" w:eastAsia="黑体" w:cs="黑体"/>
          <w:color w:val="000000"/>
          <w:sz w:val="36"/>
          <w:szCs w:val="36"/>
        </w:rPr>
        <w:t>三、报送信息种类</w:t>
      </w:r>
    </w:p>
    <w:p>
      <w:pPr>
        <w:spacing w:line="670" w:lineRule="exact"/>
        <w:ind w:firstLine="720" w:firstLineChars="200"/>
        <w:rPr>
          <w:rFonts w:ascii="方正仿宋_GBK" w:hAnsi="方正仿宋_GBK" w:eastAsia="仿宋_GB2312" w:cs="Times New Roman"/>
          <w:color w:val="000000"/>
          <w:sz w:val="36"/>
          <w:szCs w:val="36"/>
        </w:rPr>
      </w:pPr>
      <w:r>
        <w:rPr>
          <w:rFonts w:hint="eastAsia" w:ascii="方正仿宋_GBK" w:hAnsi="方正仿宋_GBK" w:eastAsia="仿宋_GB2312" w:cs="仿宋_GB2312"/>
          <w:color w:val="000000"/>
          <w:sz w:val="36"/>
          <w:szCs w:val="36"/>
        </w:rPr>
        <w:t>承保机构应当按信息系统要求填报以下信息：</w:t>
      </w:r>
    </w:p>
    <w:p>
      <w:pPr>
        <w:spacing w:line="670" w:lineRule="exact"/>
        <w:ind w:firstLine="720" w:firstLineChars="200"/>
        <w:rPr>
          <w:rFonts w:ascii="方正仿宋_GBK" w:hAnsi="方正仿宋_GBK" w:eastAsia="仿宋_GB2312" w:cs="Times New Roman"/>
          <w:color w:val="000000"/>
          <w:sz w:val="36"/>
          <w:szCs w:val="36"/>
        </w:rPr>
      </w:pPr>
      <w:r>
        <w:rPr>
          <w:rFonts w:hint="eastAsia" w:ascii="方正仿宋_GBK" w:hAnsi="方正仿宋_GBK" w:eastAsia="仿宋_GB2312" w:cs="仿宋_GB2312"/>
          <w:color w:val="000000"/>
          <w:sz w:val="36"/>
          <w:szCs w:val="36"/>
        </w:rPr>
        <w:t>（一）农业保险保单级数据；</w:t>
      </w:r>
    </w:p>
    <w:p>
      <w:pPr>
        <w:spacing w:line="670" w:lineRule="exact"/>
        <w:ind w:firstLine="720" w:firstLineChars="200"/>
        <w:rPr>
          <w:rFonts w:ascii="方正仿宋_GBK" w:hAnsi="方正仿宋_GBK" w:eastAsia="仿宋_GB2312" w:cs="Times New Roman"/>
          <w:color w:val="000000"/>
          <w:sz w:val="36"/>
          <w:szCs w:val="36"/>
        </w:rPr>
      </w:pPr>
      <w:r>
        <w:rPr>
          <w:rFonts w:hint="eastAsia" w:ascii="方正仿宋_GBK" w:hAnsi="方正仿宋_GBK" w:eastAsia="仿宋_GB2312" w:cs="仿宋_GB2312"/>
          <w:color w:val="000000"/>
          <w:sz w:val="36"/>
          <w:szCs w:val="36"/>
        </w:rPr>
        <w:t>（二）农牧户保费缴纳情况；</w:t>
      </w:r>
    </w:p>
    <w:p>
      <w:pPr>
        <w:spacing w:line="670" w:lineRule="exact"/>
        <w:ind w:firstLine="720" w:firstLineChars="200"/>
        <w:rPr>
          <w:rFonts w:ascii="方正仿宋_GBK" w:hAnsi="方正仿宋_GBK" w:eastAsia="仿宋_GB2312" w:cs="Times New Roman"/>
          <w:color w:val="000000"/>
          <w:sz w:val="36"/>
          <w:szCs w:val="36"/>
        </w:rPr>
      </w:pPr>
      <w:r>
        <w:rPr>
          <w:rFonts w:hint="eastAsia" w:ascii="方正仿宋_GBK" w:hAnsi="方正仿宋_GBK" w:eastAsia="仿宋_GB2312" w:cs="仿宋_GB2312"/>
          <w:color w:val="000000"/>
          <w:sz w:val="36"/>
          <w:szCs w:val="36"/>
        </w:rPr>
        <w:t>（三）各级财政保费补贴到位情况；</w:t>
      </w:r>
    </w:p>
    <w:p>
      <w:pPr>
        <w:spacing w:line="670" w:lineRule="exact"/>
        <w:ind w:firstLine="720" w:firstLineChars="200"/>
        <w:rPr>
          <w:rFonts w:ascii="方正仿宋_GBK" w:hAnsi="方正仿宋_GBK" w:eastAsia="仿宋_GB2312" w:cs="Times New Roman"/>
          <w:color w:val="000000"/>
          <w:sz w:val="36"/>
          <w:szCs w:val="36"/>
        </w:rPr>
      </w:pPr>
      <w:r>
        <w:rPr>
          <w:rFonts w:hint="eastAsia" w:ascii="方正仿宋_GBK" w:hAnsi="方正仿宋_GBK" w:eastAsia="仿宋_GB2312" w:cs="仿宋_GB2312"/>
          <w:color w:val="000000"/>
          <w:sz w:val="36"/>
          <w:szCs w:val="36"/>
        </w:rPr>
        <w:t>（四）保险标的所属村级代码；</w:t>
      </w:r>
    </w:p>
    <w:p>
      <w:pPr>
        <w:spacing w:line="670" w:lineRule="exact"/>
        <w:ind w:firstLine="720" w:firstLineChars="200"/>
        <w:rPr>
          <w:rFonts w:ascii="方正仿宋_GBK" w:hAnsi="方正仿宋_GBK" w:eastAsia="仿宋_GB2312" w:cs="Times New Roman"/>
          <w:color w:val="000000"/>
          <w:sz w:val="36"/>
          <w:szCs w:val="36"/>
        </w:rPr>
      </w:pPr>
      <w:r>
        <w:rPr>
          <w:rFonts w:hint="eastAsia" w:ascii="方正仿宋_GBK" w:hAnsi="方正仿宋_GBK" w:eastAsia="仿宋_GB2312" w:cs="仿宋_GB2312"/>
          <w:color w:val="000000"/>
          <w:sz w:val="36"/>
          <w:szCs w:val="36"/>
        </w:rPr>
        <w:t>（五）地理信息数据采集和遴选结果填报；</w:t>
      </w:r>
    </w:p>
    <w:p>
      <w:pPr>
        <w:spacing w:line="670" w:lineRule="exact"/>
        <w:ind w:firstLine="720" w:firstLineChars="200"/>
        <w:rPr>
          <w:rFonts w:ascii="方正仿宋_GBK" w:hAnsi="方正仿宋_GBK" w:eastAsia="仿宋_GB2312" w:cs="Times New Roman"/>
          <w:color w:val="000000"/>
          <w:sz w:val="36"/>
          <w:szCs w:val="36"/>
        </w:rPr>
      </w:pPr>
      <w:r>
        <w:rPr>
          <w:rFonts w:hint="eastAsia" w:ascii="方正仿宋_GBK" w:hAnsi="方正仿宋_GBK" w:eastAsia="仿宋_GB2312" w:cs="仿宋_GB2312"/>
          <w:color w:val="000000"/>
          <w:sz w:val="36"/>
          <w:szCs w:val="36"/>
        </w:rPr>
        <w:t>（六）财政部门要求填报的其他情况。</w:t>
      </w:r>
    </w:p>
    <w:p>
      <w:pPr>
        <w:spacing w:line="670" w:lineRule="exact"/>
        <w:ind w:firstLine="720" w:firstLineChars="200"/>
        <w:rPr>
          <w:rFonts w:ascii="黑体" w:hAnsi="黑体" w:eastAsia="黑体" w:cs="Times New Roman"/>
          <w:color w:val="000000"/>
          <w:sz w:val="36"/>
          <w:szCs w:val="36"/>
        </w:rPr>
      </w:pPr>
      <w:r>
        <w:rPr>
          <w:rFonts w:hint="eastAsia" w:ascii="黑体" w:hAnsi="黑体" w:eastAsia="黑体" w:cs="黑体"/>
          <w:color w:val="000000"/>
          <w:sz w:val="36"/>
          <w:szCs w:val="36"/>
        </w:rPr>
        <w:t>四、报送信息评价</w:t>
      </w:r>
    </w:p>
    <w:p>
      <w:pPr>
        <w:spacing w:line="670" w:lineRule="exact"/>
        <w:ind w:firstLine="720" w:firstLineChars="200"/>
        <w:rPr>
          <w:rFonts w:ascii="方正仿宋_GBK" w:hAnsi="方正仿宋_GBK" w:eastAsia="仿宋_GB2312" w:cs="Times New Roman"/>
          <w:color w:val="000000"/>
          <w:sz w:val="36"/>
          <w:szCs w:val="36"/>
        </w:rPr>
      </w:pPr>
      <w:r>
        <w:rPr>
          <w:rFonts w:hint="eastAsia" w:ascii="方正仿宋_GBK" w:hAnsi="方正仿宋_GBK" w:eastAsia="仿宋_GB2312" w:cs="仿宋_GB2312"/>
          <w:color w:val="000000"/>
          <w:sz w:val="36"/>
          <w:szCs w:val="36"/>
        </w:rPr>
        <w:t>自治区财政厅每</w:t>
      </w:r>
      <w:r>
        <w:rPr>
          <w:rFonts w:hint="eastAsia" w:ascii="仿宋_GB2312" w:hAnsi="方正仿宋_GBK" w:eastAsia="仿宋_GB2312" w:cs="仿宋_GB2312"/>
          <w:sz w:val="36"/>
          <w:szCs w:val="36"/>
        </w:rPr>
        <w:t>年</w:t>
      </w:r>
      <w:r>
        <w:rPr>
          <w:rFonts w:hint="eastAsia" w:ascii="方正仿宋_GBK" w:hAnsi="方正仿宋_GBK" w:eastAsia="仿宋_GB2312" w:cs="仿宋_GB2312"/>
          <w:color w:val="000000"/>
          <w:sz w:val="36"/>
          <w:szCs w:val="36"/>
        </w:rPr>
        <w:t>对承保机构上年度自治区农业保险管理平台数据报送质量进行评价，作为自治区农业保险工作小组组织承保机构遴选的参考。</w:t>
      </w:r>
    </w:p>
    <w:p>
      <w:pPr>
        <w:spacing w:line="670" w:lineRule="exact"/>
        <w:ind w:firstLine="720" w:firstLineChars="200"/>
        <w:rPr>
          <w:rFonts w:ascii="黑体" w:hAnsi="黑体" w:eastAsia="黑体" w:cs="Times New Roman"/>
          <w:color w:val="000000"/>
          <w:sz w:val="36"/>
          <w:szCs w:val="36"/>
        </w:rPr>
      </w:pPr>
      <w:r>
        <w:rPr>
          <w:rFonts w:hint="eastAsia" w:ascii="黑体" w:hAnsi="黑体" w:eastAsia="黑体" w:cs="黑体"/>
          <w:color w:val="000000"/>
          <w:sz w:val="36"/>
          <w:szCs w:val="36"/>
        </w:rPr>
        <w:t>五、禁止引入中介机构</w:t>
      </w:r>
    </w:p>
    <w:p>
      <w:pPr>
        <w:spacing w:line="670" w:lineRule="exact"/>
        <w:ind w:firstLine="720" w:firstLineChars="200"/>
        <w:rPr>
          <w:rFonts w:ascii="方正仿宋_GBK" w:hAnsi="方正仿宋_GBK" w:eastAsia="仿宋_GB2312" w:cs="Times New Roman"/>
          <w:color w:val="000000"/>
          <w:sz w:val="36"/>
          <w:szCs w:val="36"/>
        </w:rPr>
      </w:pPr>
      <w:r>
        <w:rPr>
          <w:rFonts w:hint="eastAsia" w:ascii="方正仿宋_GBK" w:hAnsi="方正仿宋_GBK" w:eastAsia="仿宋_GB2312" w:cs="仿宋_GB2312"/>
          <w:color w:val="000000"/>
          <w:sz w:val="36"/>
          <w:szCs w:val="36"/>
        </w:rPr>
        <w:t>各级财政部门或承保机构不得引入保险中介机构为农牧户与承保机构办理财政补贴险种合同签订等有关事宜，各级财政补贴险种的保费或保费补贴，不得用于向保险中介机构支付手续费或佣金。</w:t>
      </w:r>
    </w:p>
    <w:p>
      <w:pPr>
        <w:spacing w:line="670" w:lineRule="exact"/>
        <w:ind w:firstLine="720" w:firstLineChars="200"/>
        <w:rPr>
          <w:rFonts w:ascii="仿宋_GB2312" w:hAnsi="方正仿宋_GBK" w:eastAsia="仿宋_GB2312" w:cs="Times New Roman"/>
          <w:sz w:val="36"/>
          <w:szCs w:val="36"/>
        </w:rPr>
      </w:pPr>
    </w:p>
    <w:p>
      <w:pPr>
        <w:spacing w:line="670" w:lineRule="exact"/>
        <w:rPr>
          <w:rFonts w:ascii="Times New Roman" w:hAnsi="Times New Roman" w:eastAsia="Times New Roman" w:cs="Times New Roman"/>
          <w:sz w:val="36"/>
          <w:szCs w:val="36"/>
        </w:rPr>
      </w:pPr>
    </w:p>
    <w:sectPr>
      <w:footerReference r:id="rId3" w:type="default"/>
      <w:pgSz w:w="11906" w:h="16838"/>
      <w:pgMar w:top="2098" w:right="1531" w:bottom="1871" w:left="1531" w:header="851" w:footer="16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2"/>
                  <w:rPr>
                    <w:rFonts w:ascii="宋体" w:hAnsi="宋体"/>
                    <w:sz w:val="24"/>
                    <w:szCs w:val="24"/>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1</w:t>
                </w:r>
                <w:r>
                  <w:rPr>
                    <w:rFonts w:ascii="宋体" w:hAnsi="宋体" w:cs="宋体"/>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FEF642C"/>
    <w:rsid w:val="000F6622"/>
    <w:rsid w:val="00265F9E"/>
    <w:rsid w:val="00885FE1"/>
    <w:rsid w:val="008C0EA4"/>
    <w:rsid w:val="00901AB6"/>
    <w:rsid w:val="00936C9B"/>
    <w:rsid w:val="0D67E741"/>
    <w:rsid w:val="1BC54F0A"/>
    <w:rsid w:val="4FF81ED5"/>
    <w:rsid w:val="64F14D7E"/>
    <w:rsid w:val="6EFD63B1"/>
    <w:rsid w:val="730F9BF4"/>
    <w:rsid w:val="7D3BC5A4"/>
    <w:rsid w:val="7EFF99A1"/>
    <w:rsid w:val="7FAF39DF"/>
    <w:rsid w:val="7FEF642C"/>
    <w:rsid w:val="E7F9B374"/>
    <w:rsid w:val="F7F2FF5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customStyle="1" w:styleId="6">
    <w:name w:val="Footer Char"/>
    <w:basedOn w:val="5"/>
    <w:link w:val="2"/>
    <w:semiHidden/>
    <w:qFormat/>
    <w:uiPriority w:val="99"/>
    <w:rPr>
      <w:rFonts w:cs="Calibri"/>
      <w:sz w:val="18"/>
      <w:szCs w:val="18"/>
    </w:rPr>
  </w:style>
  <w:style w:type="character" w:customStyle="1" w:styleId="7">
    <w:name w:val="Header Char"/>
    <w:basedOn w:val="5"/>
    <w:link w:val="3"/>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138</Words>
  <Characters>792</Characters>
  <Lines>0</Lines>
  <Paragraphs>0</Paragraphs>
  <TotalTime>6</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2023-01-19T18:43:00Z</dcterms:created>
  <dc:creator>布仁</dc:creator>
  <cp:lastModifiedBy>尹娜</cp:lastModifiedBy>
  <dcterms:modified xsi:type="dcterms:W3CDTF">2023-02-11T17:20:52Z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74EA6BE67C97452C582AC563FF7E1E86</vt:lpwstr>
  </property>
</Properties>
</file>