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内蒙古自治区财政衔接推进乡村</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振兴补助资金管理办法</w:t>
      </w:r>
    </w:p>
    <w:p>
      <w:pPr>
        <w:spacing w:line="560" w:lineRule="exact"/>
        <w:jc w:val="center"/>
        <w:rPr>
          <w:rFonts w:hint="eastAsia" w:ascii="CESI仿宋-GB2312" w:hAnsi="CESI仿宋-GB2312" w:eastAsia="CESI仿宋-GB2312" w:cs="CESI仿宋-GB2312"/>
          <w:b/>
          <w:sz w:val="32"/>
          <w:szCs w:val="32"/>
        </w:rPr>
      </w:pPr>
    </w:p>
    <w:p>
      <w:pPr>
        <w:numPr>
          <w:ilvl w:val="0"/>
          <w:numId w:val="1"/>
        </w:numPr>
        <w:snapToGrid w:val="0"/>
        <w:spacing w:line="560" w:lineRule="exact"/>
        <w:jc w:val="center"/>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 xml:space="preserve"> 总  则</w:t>
      </w:r>
    </w:p>
    <w:p>
      <w:pPr>
        <w:numPr>
          <w:ilvl w:val="0"/>
          <w:numId w:val="0"/>
        </w:numPr>
        <w:snapToGrid w:val="0"/>
        <w:spacing w:line="560" w:lineRule="exact"/>
        <w:jc w:val="both"/>
        <w:rPr>
          <w:rFonts w:hint="default" w:ascii="CESI仿宋-GB2312" w:hAnsi="CESI仿宋-GB2312" w:eastAsia="CESI仿宋-GB2312" w:cs="CESI仿宋-GB2312"/>
          <w:sz w:val="32"/>
          <w:szCs w:val="32"/>
          <w:lang w:val="en-US" w:eastAsia="zh-CN"/>
        </w:rPr>
      </w:pPr>
    </w:p>
    <w:p>
      <w:pPr>
        <w:snapToGrid w:val="0"/>
        <w:spacing w:line="560" w:lineRule="exact"/>
        <w:ind w:firstLine="643"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eastAsia="zh-CN"/>
        </w:rPr>
        <w:t>第一条</w:t>
      </w:r>
      <w:r>
        <w:rPr>
          <w:rFonts w:hint="eastAsia" w:ascii="CESI仿宋-GB2312" w:hAnsi="CESI仿宋-GB2312" w:eastAsia="CESI仿宋-GB2312" w:cs="CESI仿宋-GB2312"/>
          <w:b/>
          <w:bCs/>
          <w:sz w:val="32"/>
          <w:szCs w:val="32"/>
          <w:lang w:val="en-US" w:eastAsia="zh-CN"/>
        </w:rPr>
        <w:t xml:space="preserve"> </w:t>
      </w:r>
      <w:r>
        <w:rPr>
          <w:rFonts w:hint="eastAsia" w:ascii="CESI仿宋-GB2312" w:hAnsi="CESI仿宋-GB2312" w:eastAsia="CESI仿宋-GB2312" w:cs="CESI仿宋-GB2312"/>
          <w:sz w:val="32"/>
          <w:szCs w:val="32"/>
        </w:rPr>
        <w:t>为贯彻落实《中共中央 国务院关于实现巩固拓展脱贫攻坚成果同乡村振兴有效衔接的意见》精神，加强过渡期内蒙古自治区财政衔接推进乡村振兴补助资金（以下简称衔接资金）管理，根据</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财政部 国家乡村振兴局 国家发展改革委 国家民委 农业农村部 国家林业和草原局关于印发</w:t>
      </w:r>
      <w:r>
        <w:rPr>
          <w:rFonts w:hint="eastAsia" w:ascii="CESI仿宋-GB2312" w:hAnsi="CESI仿宋-GB2312" w:eastAsia="CESI仿宋-GB2312" w:cs="CESI仿宋-GB2312"/>
          <w:sz w:val="32"/>
          <w:szCs w:val="32"/>
          <w:lang w:val="en-US" w:eastAsia="zh-CN"/>
        </w:rPr>
        <w:t>&lt;</w:t>
      </w:r>
      <w:r>
        <w:rPr>
          <w:rFonts w:hint="eastAsia" w:ascii="CESI仿宋-GB2312" w:hAnsi="CESI仿宋-GB2312" w:eastAsia="CESI仿宋-GB2312" w:cs="CESI仿宋-GB2312"/>
          <w:sz w:val="32"/>
          <w:szCs w:val="32"/>
        </w:rPr>
        <w:t>中央财政衔接推进乡村振兴补助资金管理办法</w:t>
      </w:r>
      <w:r>
        <w:rPr>
          <w:rFonts w:hint="eastAsia" w:ascii="CESI仿宋-GB2312" w:hAnsi="CESI仿宋-GB2312" w:eastAsia="CESI仿宋-GB2312" w:cs="CESI仿宋-GB2312"/>
          <w:sz w:val="32"/>
          <w:szCs w:val="32"/>
          <w:lang w:val="en-US" w:eastAsia="zh-CN"/>
        </w:rPr>
        <w:t>&gt;</w:t>
      </w:r>
      <w:r>
        <w:rPr>
          <w:rFonts w:hint="eastAsia" w:ascii="CESI仿宋-GB2312" w:hAnsi="CESI仿宋-GB2312" w:eastAsia="CESI仿宋-GB2312" w:cs="CESI仿宋-GB2312"/>
          <w:sz w:val="32"/>
          <w:szCs w:val="32"/>
        </w:rPr>
        <w:t>的通知</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（财农〔2021〕19号）和预算管理有关规定，制定本办法。</w:t>
      </w:r>
    </w:p>
    <w:p>
      <w:pPr>
        <w:tabs>
          <w:tab w:val="left" w:pos="2160"/>
        </w:tabs>
        <w:snapToGrid w:val="0"/>
        <w:spacing w:line="560" w:lineRule="exact"/>
        <w:ind w:firstLine="643"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b/>
          <w:sz w:val="32"/>
          <w:szCs w:val="32"/>
        </w:rPr>
        <w:t>第</w:t>
      </w:r>
      <w:r>
        <w:rPr>
          <w:rFonts w:hint="eastAsia" w:ascii="CESI仿宋-GB2312" w:hAnsi="CESI仿宋-GB2312" w:eastAsia="CESI仿宋-GB2312" w:cs="CESI仿宋-GB2312"/>
          <w:b/>
          <w:sz w:val="32"/>
          <w:szCs w:val="32"/>
          <w:lang w:eastAsia="zh-CN"/>
        </w:rPr>
        <w:t>二</w:t>
      </w:r>
      <w:r>
        <w:rPr>
          <w:rFonts w:hint="eastAsia" w:ascii="CESI仿宋-GB2312" w:hAnsi="CESI仿宋-GB2312" w:eastAsia="CESI仿宋-GB2312" w:cs="CESI仿宋-GB2312"/>
          <w:b/>
          <w:sz w:val="32"/>
          <w:szCs w:val="32"/>
        </w:rPr>
        <w:t xml:space="preserve">条 </w:t>
      </w:r>
      <w:r>
        <w:rPr>
          <w:rFonts w:hint="eastAsia" w:ascii="CESI仿宋-GB2312" w:hAnsi="CESI仿宋-GB2312" w:eastAsia="CESI仿宋-GB2312" w:cs="CESI仿宋-GB2312"/>
          <w:b/>
          <w:sz w:val="32"/>
          <w:szCs w:val="32"/>
          <w:lang w:val="en-US" w:eastAsia="zh-CN"/>
        </w:rPr>
        <w:t xml:space="preserve"> </w:t>
      </w:r>
      <w:r>
        <w:rPr>
          <w:rFonts w:hint="eastAsia" w:ascii="CESI仿宋-GB2312" w:hAnsi="CESI仿宋-GB2312" w:eastAsia="CESI仿宋-GB2312" w:cs="CESI仿宋-GB2312"/>
          <w:sz w:val="32"/>
          <w:szCs w:val="32"/>
        </w:rPr>
        <w:t>自治区衔接资金</w:t>
      </w:r>
      <w:r>
        <w:rPr>
          <w:rFonts w:hint="eastAsia" w:ascii="CESI仿宋-GB2312" w:hAnsi="CESI仿宋-GB2312" w:eastAsia="CESI仿宋-GB2312" w:cs="CESI仿宋-GB2312"/>
          <w:sz w:val="32"/>
          <w:szCs w:val="32"/>
          <w:lang w:eastAsia="zh-CN"/>
        </w:rPr>
        <w:t>是指中央下达的衔接资金和自治区本级财政安排的衔接资金。</w:t>
      </w:r>
    </w:p>
    <w:p>
      <w:pPr>
        <w:snapToGrid w:val="0"/>
        <w:spacing w:line="560" w:lineRule="exact"/>
        <w:ind w:firstLine="633" w:firstLineChars="197"/>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eastAsia="zh-CN"/>
        </w:rPr>
        <w:t>第三条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lang w:eastAsia="zh-CN"/>
        </w:rPr>
        <w:t>各级</w:t>
      </w:r>
      <w:r>
        <w:rPr>
          <w:rFonts w:hint="eastAsia" w:ascii="CESI仿宋-GB2312" w:hAnsi="CESI仿宋-GB2312" w:eastAsia="CESI仿宋-GB2312" w:cs="CESI仿宋-GB2312"/>
          <w:sz w:val="32"/>
          <w:szCs w:val="32"/>
        </w:rPr>
        <w:t>财政部门要根据巩固拓展脱贫攻坚成果同乡村振兴有效衔接的任务需要及财力情况，每年预算安排一定规模的本级衔接资金，保持投入力度总体稳定。</w:t>
      </w:r>
    </w:p>
    <w:p>
      <w:pPr>
        <w:tabs>
          <w:tab w:val="left" w:pos="2160"/>
        </w:tabs>
        <w:snapToGrid w:val="0"/>
        <w:spacing w:line="560" w:lineRule="exact"/>
        <w:rPr>
          <w:rFonts w:hint="eastAsia" w:ascii="CESI仿宋-GB2312" w:hAnsi="CESI仿宋-GB2312" w:eastAsia="CESI仿宋-GB2312" w:cs="CESI仿宋-GB2312"/>
          <w:sz w:val="32"/>
          <w:szCs w:val="32"/>
          <w:lang w:eastAsia="zh-CN"/>
        </w:rPr>
      </w:pPr>
    </w:p>
    <w:p>
      <w:pPr>
        <w:numPr>
          <w:ilvl w:val="0"/>
          <w:numId w:val="1"/>
        </w:numPr>
        <w:tabs>
          <w:tab w:val="left" w:pos="2160"/>
        </w:tabs>
        <w:snapToGrid w:val="0"/>
        <w:spacing w:line="560" w:lineRule="exact"/>
        <w:ind w:left="0" w:leftChars="0" w:firstLine="0" w:firstLineChars="0"/>
        <w:jc w:val="center"/>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 xml:space="preserve"> 资金支出范围</w:t>
      </w:r>
    </w:p>
    <w:p>
      <w:pPr>
        <w:numPr>
          <w:ilvl w:val="0"/>
          <w:numId w:val="0"/>
        </w:numPr>
        <w:tabs>
          <w:tab w:val="left" w:pos="2160"/>
        </w:tabs>
        <w:snapToGrid w:val="0"/>
        <w:spacing w:line="560" w:lineRule="exact"/>
        <w:ind w:leftChars="0"/>
        <w:jc w:val="both"/>
        <w:rPr>
          <w:rFonts w:hint="default" w:ascii="CESI仿宋-GB2312" w:hAnsi="CESI仿宋-GB2312" w:eastAsia="CESI仿宋-GB2312" w:cs="CESI仿宋-GB2312"/>
          <w:sz w:val="32"/>
          <w:szCs w:val="32"/>
          <w:lang w:val="en-US" w:eastAsia="zh-CN"/>
        </w:rPr>
      </w:pPr>
    </w:p>
    <w:p>
      <w:pPr>
        <w:tabs>
          <w:tab w:val="left" w:pos="2160"/>
        </w:tabs>
        <w:snapToGrid w:val="0"/>
        <w:spacing w:line="560" w:lineRule="exact"/>
        <w:ind w:firstLine="643"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eastAsia="zh-CN"/>
        </w:rPr>
        <w:t>第四条</w:t>
      </w:r>
      <w:r>
        <w:rPr>
          <w:rFonts w:hint="eastAsia" w:ascii="CESI仿宋-GB2312" w:hAnsi="CESI仿宋-GB2312" w:eastAsia="CESI仿宋-GB2312" w:cs="CESI仿宋-GB2312"/>
          <w:sz w:val="32"/>
          <w:szCs w:val="32"/>
          <w:lang w:val="en-US" w:eastAsia="zh-CN"/>
        </w:rPr>
        <w:t xml:space="preserve">  衔接资金</w:t>
      </w:r>
      <w:r>
        <w:rPr>
          <w:rFonts w:hint="eastAsia" w:ascii="CESI仿宋-GB2312" w:hAnsi="CESI仿宋-GB2312" w:eastAsia="CESI仿宋-GB2312" w:cs="CESI仿宋-GB2312"/>
          <w:sz w:val="32"/>
          <w:szCs w:val="32"/>
        </w:rPr>
        <w:t>用于支持各盟</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市</w:t>
      </w:r>
      <w:r>
        <w:rPr>
          <w:rFonts w:hint="eastAsia" w:ascii="CESI仿宋-GB2312" w:hAnsi="CESI仿宋-GB2312" w:eastAsia="CESI仿宋-GB2312" w:cs="CESI仿宋-GB2312"/>
          <w:sz w:val="32"/>
          <w:szCs w:val="32"/>
          <w:lang w:eastAsia="zh-CN"/>
        </w:rPr>
        <w:t>）、旗县（市、区）</w:t>
      </w:r>
      <w:r>
        <w:rPr>
          <w:rFonts w:hint="eastAsia" w:ascii="CESI仿宋-GB2312" w:hAnsi="CESI仿宋-GB2312" w:eastAsia="CESI仿宋-GB2312" w:cs="CESI仿宋-GB2312"/>
          <w:sz w:val="32"/>
          <w:szCs w:val="32"/>
        </w:rPr>
        <w:t>巩固拓展脱贫攻坚成果同乡村振兴有效衔接，具体包括以下</w:t>
      </w:r>
      <w:r>
        <w:rPr>
          <w:rFonts w:hint="eastAsia" w:ascii="CESI仿宋-GB2312" w:hAnsi="CESI仿宋-GB2312" w:eastAsia="CESI仿宋-GB2312" w:cs="CESI仿宋-GB2312"/>
          <w:sz w:val="32"/>
          <w:szCs w:val="32"/>
          <w:lang w:eastAsia="zh-CN"/>
        </w:rPr>
        <w:t>两</w:t>
      </w:r>
      <w:r>
        <w:rPr>
          <w:rFonts w:hint="eastAsia" w:ascii="CESI仿宋-GB2312" w:hAnsi="CESI仿宋-GB2312" w:eastAsia="CESI仿宋-GB2312" w:cs="CESI仿宋-GB2312"/>
          <w:sz w:val="32"/>
          <w:szCs w:val="32"/>
        </w:rPr>
        <w:t>个方面：</w:t>
      </w:r>
    </w:p>
    <w:p>
      <w:pPr>
        <w:tabs>
          <w:tab w:val="left" w:pos="2160"/>
        </w:tabs>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（一）支持巩固拓展脱贫攻坚成果</w:t>
      </w:r>
    </w:p>
    <w:p>
      <w:pPr>
        <w:tabs>
          <w:tab w:val="left" w:pos="2160"/>
        </w:tabs>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健全防止返贫致贫动态监测和帮扶机制,加强监测预警，强化及时帮扶。加强对脱贫不稳定户、边缘易致贫户，以及因病因灾因意外事故等刚性支出较大或收入大幅缩减导致基本生活出现严重困难户的动态监测，对监测帮扶对象采取有针对性的预防性措施和事后帮扶措施，坚决守住防止规模性返贫底线。可安排产业发展、小额信贷贴息、生产经营和劳动技能培训、公益岗位补助、</w:t>
      </w:r>
      <w:r>
        <w:rPr>
          <w:rFonts w:hint="eastAsia" w:ascii="CESI仿宋-GB2312" w:hAnsi="CESI仿宋-GB2312" w:eastAsia="CESI仿宋-GB2312" w:cs="CESI仿宋-GB2312"/>
          <w:b w:val="0"/>
          <w:bCs w:val="0"/>
          <w:sz w:val="32"/>
          <w:szCs w:val="32"/>
          <w:lang w:eastAsia="zh-CN"/>
        </w:rPr>
        <w:t>安全饮水</w:t>
      </w:r>
      <w:r>
        <w:rPr>
          <w:rFonts w:hint="eastAsia" w:ascii="CESI仿宋-GB2312" w:hAnsi="CESI仿宋-GB2312" w:eastAsia="CESI仿宋-GB2312" w:cs="CESI仿宋-GB2312"/>
          <w:sz w:val="32"/>
          <w:szCs w:val="32"/>
        </w:rPr>
        <w:t>等支出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b w:val="0"/>
          <w:bCs w:val="0"/>
          <w:sz w:val="32"/>
          <w:szCs w:val="32"/>
          <w:lang w:eastAsia="zh-CN"/>
        </w:rPr>
        <w:t>未纳入整合的自治区本级衔接资金可用于防贫保险补助支出</w:t>
      </w:r>
      <w:r>
        <w:rPr>
          <w:rFonts w:hint="eastAsia" w:ascii="CESI仿宋-GB2312" w:hAnsi="CESI仿宋-GB2312" w:eastAsia="CESI仿宋-GB2312" w:cs="CESI仿宋-GB2312"/>
          <w:b w:val="0"/>
          <w:bCs w:val="0"/>
          <w:sz w:val="32"/>
          <w:szCs w:val="32"/>
        </w:rPr>
        <w:t>。</w:t>
      </w:r>
      <w:r>
        <w:rPr>
          <w:rFonts w:hint="eastAsia" w:ascii="CESI仿宋-GB2312" w:hAnsi="CESI仿宋-GB2312" w:eastAsia="CESI仿宋-GB2312" w:cs="CESI仿宋-GB2312"/>
          <w:sz w:val="32"/>
          <w:szCs w:val="32"/>
        </w:rPr>
        <w:t>低保、医保、养老保险、临时救助等综合保障措施，通过原资金渠道支持。监测预警工作经费通过各级部门预算安排。</w:t>
      </w:r>
    </w:p>
    <w:p>
      <w:pPr>
        <w:tabs>
          <w:tab w:val="left" w:pos="2160"/>
        </w:tabs>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十三五”易地搬迁后续扶持。支持实施带动搬迁群众发展的项目，从就业需要、产业发展等方面加大扶持力度。提升安置区社区管理服务水平，对集中安置区聘用搬迁群众的公共服务岗位和“一站式”社区综合服务设施建设等费用予以适当补助。对“十三五”规划内的易地搬迁贷款和调整规范后的地方政府债券按规定予以贴息补助。</w:t>
      </w:r>
    </w:p>
    <w:p>
      <w:pPr>
        <w:tabs>
          <w:tab w:val="left" w:pos="2160"/>
        </w:tabs>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3.外出务工脱贫劳动力（含监测帮扶对象）稳定就业，可对跨自治区就业的脱贫劳动力安排一次性交通补助，符合条件的脱贫劳动力每人每年补助300元。采取</w:t>
      </w:r>
      <w:r>
        <w:rPr>
          <w:rFonts w:hint="eastAsia" w:ascii="CESI仿宋-GB2312" w:hAnsi="CESI仿宋-GB2312" w:eastAsia="CESI仿宋-GB2312" w:cs="CESI仿宋-GB2312"/>
          <w:b w:val="0"/>
          <w:bCs w:val="0"/>
          <w:sz w:val="32"/>
          <w:szCs w:val="32"/>
          <w:lang w:eastAsia="zh-CN"/>
        </w:rPr>
        <w:t>就业帮扶</w:t>
      </w:r>
      <w:r>
        <w:rPr>
          <w:rFonts w:hint="eastAsia" w:ascii="CESI仿宋-GB2312" w:hAnsi="CESI仿宋-GB2312" w:eastAsia="CESI仿宋-GB2312" w:cs="CESI仿宋-GB2312"/>
          <w:b w:val="0"/>
          <w:bCs w:val="0"/>
          <w:sz w:val="32"/>
          <w:szCs w:val="32"/>
        </w:rPr>
        <w:t>车间、</w:t>
      </w:r>
      <w:r>
        <w:rPr>
          <w:rFonts w:hint="eastAsia" w:ascii="CESI仿宋-GB2312" w:hAnsi="CESI仿宋-GB2312" w:eastAsia="CESI仿宋-GB2312" w:cs="CESI仿宋-GB2312"/>
          <w:sz w:val="32"/>
          <w:szCs w:val="32"/>
        </w:rPr>
        <w:t>以工代赈、生产奖补、劳务补助等方式,促进返乡在乡脱贫劳动力发展产业和就业增收。继续向符合条件的脱贫家庭（含监测帮扶对象家庭）安排“雨露计划”补助。</w:t>
      </w:r>
    </w:p>
    <w:p>
      <w:pPr>
        <w:tabs>
          <w:tab w:val="left" w:pos="2160"/>
        </w:tabs>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（二）支持衔接推进乡村振兴</w:t>
      </w:r>
    </w:p>
    <w:p>
      <w:pPr>
        <w:tabs>
          <w:tab w:val="left" w:pos="2160"/>
        </w:tabs>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1.培育和壮大欠发达地区特色优势产业并逐年提高资金占比，</w:t>
      </w:r>
      <w:r>
        <w:rPr>
          <w:rFonts w:hint="eastAsia" w:ascii="CESI仿宋-GB2312" w:hAnsi="CESI仿宋-GB2312" w:eastAsia="CESI仿宋-GB2312" w:cs="CESI仿宋-GB2312"/>
          <w:b w:val="0"/>
          <w:bCs w:val="0"/>
          <w:kern w:val="0"/>
          <w:sz w:val="32"/>
          <w:szCs w:val="32"/>
        </w:rPr>
        <w:t>2022-2025年度，各盟市收到中央、自治区衔接资金用于产业的比例应分别≥55%、60%、65%</w:t>
      </w:r>
      <w:r>
        <w:rPr>
          <w:rFonts w:hint="eastAsia" w:ascii="CESI仿宋-GB2312" w:hAnsi="CESI仿宋-GB2312" w:eastAsia="CESI仿宋-GB2312" w:cs="CESI仿宋-GB2312"/>
          <w:b w:val="0"/>
          <w:bCs w:val="0"/>
          <w:kern w:val="0"/>
          <w:sz w:val="32"/>
          <w:szCs w:val="32"/>
          <w:lang w:eastAsia="zh-CN"/>
        </w:rPr>
        <w:t>、</w:t>
      </w:r>
      <w:r>
        <w:rPr>
          <w:rFonts w:hint="eastAsia" w:ascii="CESI仿宋-GB2312" w:hAnsi="CESI仿宋-GB2312" w:eastAsia="CESI仿宋-GB2312" w:cs="CESI仿宋-GB2312"/>
          <w:b w:val="0"/>
          <w:bCs w:val="0"/>
          <w:kern w:val="0"/>
          <w:sz w:val="32"/>
          <w:szCs w:val="32"/>
        </w:rPr>
        <w:t>70%，且中央衔接资金不得低于上年用于产业发展的资金占比</w:t>
      </w:r>
      <w:r>
        <w:rPr>
          <w:rFonts w:hint="eastAsia" w:ascii="CESI仿宋-GB2312" w:hAnsi="CESI仿宋-GB2312" w:eastAsia="CESI仿宋-GB2312" w:cs="CESI仿宋-GB2312"/>
          <w:b w:val="0"/>
          <w:bCs w:val="0"/>
          <w:sz w:val="32"/>
          <w:szCs w:val="32"/>
        </w:rPr>
        <w:t>。</w:t>
      </w:r>
      <w:r>
        <w:rPr>
          <w:rFonts w:hint="eastAsia" w:ascii="CESI仿宋-GB2312" w:hAnsi="CESI仿宋-GB2312" w:eastAsia="CESI仿宋-GB2312" w:cs="CESI仿宋-GB2312"/>
          <w:b w:val="0"/>
          <w:bCs w:val="0"/>
          <w:sz w:val="32"/>
          <w:szCs w:val="32"/>
          <w:lang w:eastAsia="zh-CN"/>
        </w:rPr>
        <w:t>支持农牧业品种培优、品质提升、品牌打造。集中资金支持</w:t>
      </w:r>
      <w:r>
        <w:rPr>
          <w:rFonts w:hint="eastAsia" w:ascii="CESI仿宋-GB2312" w:hAnsi="CESI仿宋-GB2312" w:eastAsia="CESI仿宋-GB2312" w:cs="CESI仿宋-GB2312"/>
          <w:b w:val="0"/>
          <w:bCs w:val="0"/>
          <w:sz w:val="32"/>
          <w:szCs w:val="32"/>
        </w:rPr>
        <w:t>奶牛、肉牛、肉羊、马铃薯、羊绒等特色优势产业后续长期培育，</w:t>
      </w:r>
      <w:r>
        <w:rPr>
          <w:rFonts w:hint="eastAsia" w:ascii="CESI仿宋-GB2312" w:hAnsi="CESI仿宋-GB2312" w:eastAsia="CESI仿宋-GB2312" w:cs="CESI仿宋-GB2312"/>
          <w:sz w:val="32"/>
          <w:szCs w:val="32"/>
        </w:rPr>
        <w:t>支持欠发达地区集中资金发展壮大优势特色农牧业、农畜产品加工业、乡村旅游、电商产业、生态产业等（含必要的产业配套基础设施）。推动产销对接和消费帮扶，支持欠发达地区农产品和食品仓储保鲜、冷链物流设施建设，以及农产品流通企业、电商、批发市场与区域特色产业精准联接；主动对接帮扶省市</w:t>
      </w:r>
      <w:r>
        <w:rPr>
          <w:rFonts w:hint="eastAsia" w:ascii="CESI仿宋-GB2312" w:hAnsi="CESI仿宋-GB2312" w:eastAsia="CESI仿宋-GB2312" w:cs="CESI仿宋-GB2312"/>
          <w:sz w:val="32"/>
          <w:szCs w:val="32"/>
          <w:lang w:eastAsia="zh-CN"/>
        </w:rPr>
        <w:t>的</w:t>
      </w:r>
      <w:r>
        <w:rPr>
          <w:rFonts w:hint="eastAsia" w:ascii="CESI仿宋-GB2312" w:hAnsi="CESI仿宋-GB2312" w:eastAsia="CESI仿宋-GB2312" w:cs="CESI仿宋-GB2312"/>
          <w:sz w:val="32"/>
          <w:szCs w:val="32"/>
        </w:rPr>
        <w:t>农产品需求，支持推进产地农产品分级、包装、追溯标准化，解决农产品“卖难”问题。支持脱贫嘎查村发展壮大村级集体经济。</w:t>
      </w:r>
    </w:p>
    <w:p>
      <w:pPr>
        <w:tabs>
          <w:tab w:val="left" w:pos="2160"/>
        </w:tabs>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补齐必要的农村牧区人居环境整治和小型公益性基础设施建设短板。主要包括水、电、路、网等农牧业生产配套设施，以及垃圾清运等小型公益性生活设施。教育、卫生、养老服务、文化等农村牧区基本公共服务通过原资金渠道支持。</w:t>
      </w:r>
    </w:p>
    <w:p>
      <w:pPr>
        <w:tabs>
          <w:tab w:val="left" w:pos="2160"/>
        </w:tabs>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3.实施兴边富民行动、人口较少民族发展、少数民族特色产业和民族村寨发展</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b w:val="0"/>
          <w:bCs w:val="0"/>
          <w:sz w:val="32"/>
          <w:szCs w:val="32"/>
          <w:lang w:eastAsia="zh-CN"/>
        </w:rPr>
        <w:t>困难群众饮用低氟边销茶，</w:t>
      </w:r>
      <w:r>
        <w:rPr>
          <w:rFonts w:hint="eastAsia" w:ascii="CESI仿宋-GB2312" w:hAnsi="CESI仿宋-GB2312" w:eastAsia="CESI仿宋-GB2312" w:cs="CESI仿宋-GB2312"/>
          <w:b w:val="0"/>
          <w:bCs w:val="0"/>
          <w:sz w:val="32"/>
          <w:szCs w:val="32"/>
        </w:rPr>
        <w:t>以</w:t>
      </w:r>
      <w:r>
        <w:rPr>
          <w:rFonts w:hint="eastAsia" w:ascii="CESI仿宋-GB2312" w:hAnsi="CESI仿宋-GB2312" w:eastAsia="CESI仿宋-GB2312" w:cs="CESI仿宋-GB2312"/>
          <w:sz w:val="32"/>
          <w:szCs w:val="32"/>
        </w:rPr>
        <w:t>工代赈项目</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欠发达国有农场和欠发达国有林场巩固发展。</w:t>
      </w:r>
    </w:p>
    <w:p>
      <w:pPr>
        <w:tabs>
          <w:tab w:val="left" w:pos="2160"/>
        </w:tabs>
        <w:snapToGrid w:val="0"/>
        <w:spacing w:line="560" w:lineRule="exact"/>
        <w:ind w:firstLine="640" w:firstLineChars="200"/>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val="0"/>
          <w:bCs w:val="0"/>
          <w:sz w:val="32"/>
          <w:szCs w:val="32"/>
          <w:lang w:val="en-US" w:eastAsia="zh-CN"/>
        </w:rPr>
        <w:t>4.自治区本级衔接资金可支持脱贫旗县的教师、医生等行业人员与先进地区交流合作提升业务能力水平。</w:t>
      </w:r>
    </w:p>
    <w:p>
      <w:pPr>
        <w:tabs>
          <w:tab w:val="left" w:pos="2160"/>
        </w:tabs>
        <w:snapToGrid w:val="0"/>
        <w:spacing w:line="560" w:lineRule="exact"/>
        <w:ind w:firstLine="643"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val="en-US" w:eastAsia="zh-CN"/>
        </w:rPr>
        <w:t>第五条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衔接资金不得用于与巩固拓展脱贫攻坚成果和推进欠发达地区乡村振兴无关的支出，包括：单位基本支出、交通工具及通讯设备、修建楼堂馆所、各种奖金津贴和福利补助、偿还债务、设立基金和垫资等。偿还易地搬迁债务按有关规定执行。</w:t>
      </w:r>
    </w:p>
    <w:p>
      <w:pPr>
        <w:tabs>
          <w:tab w:val="left" w:pos="2160"/>
        </w:tabs>
        <w:snapToGrid w:val="0"/>
        <w:spacing w:line="560" w:lineRule="exact"/>
        <w:ind w:firstLine="640" w:firstLineChars="200"/>
        <w:rPr>
          <w:rFonts w:hint="eastAsia" w:ascii="CESI仿宋-GB2312" w:hAnsi="CESI仿宋-GB2312" w:eastAsia="CESI仿宋-GB2312" w:cs="CESI仿宋-GB2312"/>
          <w:sz w:val="32"/>
          <w:szCs w:val="32"/>
        </w:rPr>
      </w:pPr>
    </w:p>
    <w:p>
      <w:pPr>
        <w:numPr>
          <w:ilvl w:val="0"/>
          <w:numId w:val="1"/>
        </w:numPr>
        <w:tabs>
          <w:tab w:val="left" w:pos="2160"/>
        </w:tabs>
        <w:snapToGrid w:val="0"/>
        <w:spacing w:line="560" w:lineRule="exact"/>
        <w:ind w:left="0" w:leftChars="0" w:firstLine="0" w:firstLineChars="0"/>
        <w:jc w:val="center"/>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 xml:space="preserve"> 资金分配与下达</w:t>
      </w:r>
    </w:p>
    <w:p>
      <w:pPr>
        <w:numPr>
          <w:ilvl w:val="0"/>
          <w:numId w:val="0"/>
        </w:numPr>
        <w:tabs>
          <w:tab w:val="left" w:pos="2160"/>
        </w:tabs>
        <w:snapToGrid w:val="0"/>
        <w:spacing w:line="560" w:lineRule="exact"/>
        <w:ind w:leftChars="0"/>
        <w:jc w:val="both"/>
        <w:rPr>
          <w:rFonts w:hint="default" w:ascii="CESI仿宋-GB2312" w:hAnsi="CESI仿宋-GB2312" w:eastAsia="CESI仿宋-GB2312" w:cs="CESI仿宋-GB2312"/>
          <w:sz w:val="32"/>
          <w:szCs w:val="32"/>
          <w:lang w:val="en-US" w:eastAsia="zh-CN"/>
        </w:rPr>
      </w:pPr>
    </w:p>
    <w:p>
      <w:pPr>
        <w:tabs>
          <w:tab w:val="left" w:pos="2160"/>
        </w:tabs>
        <w:snapToGrid w:val="0"/>
        <w:spacing w:line="560" w:lineRule="exact"/>
        <w:ind w:firstLine="643" w:firstLineChars="200"/>
        <w:rPr>
          <w:rFonts w:hint="eastAsia" w:ascii="CESI仿宋-GB2312" w:hAnsi="CESI仿宋-GB2312" w:eastAsia="CESI仿宋-GB2312" w:cs="CESI仿宋-GB2312"/>
          <w:b w:val="0"/>
          <w:bCs w:val="0"/>
          <w:sz w:val="32"/>
          <w:szCs w:val="32"/>
          <w:lang w:eastAsia="zh-CN"/>
        </w:rPr>
      </w:pPr>
      <w:r>
        <w:rPr>
          <w:rFonts w:hint="eastAsia" w:ascii="CESI仿宋-GB2312" w:hAnsi="CESI仿宋-GB2312" w:eastAsia="CESI仿宋-GB2312" w:cs="CESI仿宋-GB2312"/>
          <w:b/>
          <w:sz w:val="32"/>
          <w:szCs w:val="32"/>
        </w:rPr>
        <w:t>第</w:t>
      </w:r>
      <w:r>
        <w:rPr>
          <w:rFonts w:hint="eastAsia" w:ascii="CESI仿宋-GB2312" w:hAnsi="CESI仿宋-GB2312" w:eastAsia="CESI仿宋-GB2312" w:cs="CESI仿宋-GB2312"/>
          <w:b/>
          <w:sz w:val="32"/>
          <w:szCs w:val="32"/>
          <w:lang w:eastAsia="zh-CN"/>
        </w:rPr>
        <w:t>六</w:t>
      </w:r>
      <w:r>
        <w:rPr>
          <w:rFonts w:hint="eastAsia" w:ascii="CESI仿宋-GB2312" w:hAnsi="CESI仿宋-GB2312" w:eastAsia="CESI仿宋-GB2312" w:cs="CESI仿宋-GB2312"/>
          <w:b/>
          <w:sz w:val="32"/>
          <w:szCs w:val="32"/>
        </w:rPr>
        <w:t>条</w:t>
      </w:r>
      <w:r>
        <w:rPr>
          <w:rFonts w:hint="eastAsia" w:ascii="CESI仿宋-GB2312" w:hAnsi="CESI仿宋-GB2312" w:eastAsia="CESI仿宋-GB2312" w:cs="CESI仿宋-GB2312"/>
          <w:b/>
          <w:sz w:val="32"/>
          <w:szCs w:val="32"/>
          <w:lang w:val="en-US" w:eastAsia="zh-CN"/>
        </w:rPr>
        <w:t xml:space="preserve">  </w:t>
      </w:r>
      <w:r>
        <w:rPr>
          <w:rFonts w:hint="eastAsia" w:ascii="CESI仿宋-GB2312" w:hAnsi="CESI仿宋-GB2312" w:eastAsia="CESI仿宋-GB2312" w:cs="CESI仿宋-GB2312"/>
          <w:sz w:val="32"/>
          <w:szCs w:val="32"/>
        </w:rPr>
        <w:t>衔接资金按照巩固拓展脱贫攻坚成果和乡村振兴、以工代赈、</w:t>
      </w:r>
      <w:r>
        <w:rPr>
          <w:rFonts w:hint="eastAsia" w:ascii="CESI仿宋-GB2312" w:hAnsi="CESI仿宋-GB2312" w:eastAsia="CESI仿宋-GB2312" w:cs="CESI仿宋-GB2312"/>
          <w:sz w:val="32"/>
          <w:szCs w:val="32"/>
          <w:lang w:eastAsia="zh-CN"/>
        </w:rPr>
        <w:t>易地搬迁后续扶持、</w:t>
      </w:r>
      <w:r>
        <w:rPr>
          <w:rFonts w:hint="eastAsia" w:ascii="CESI仿宋-GB2312" w:hAnsi="CESI仿宋-GB2312" w:eastAsia="CESI仿宋-GB2312" w:cs="CESI仿宋-GB2312"/>
          <w:sz w:val="32"/>
          <w:szCs w:val="32"/>
        </w:rPr>
        <w:t>少数民族发展、</w:t>
      </w:r>
      <w:r>
        <w:rPr>
          <w:rFonts w:hint="eastAsia" w:ascii="CESI仿宋-GB2312" w:hAnsi="CESI仿宋-GB2312" w:eastAsia="CESI仿宋-GB2312" w:cs="CESI仿宋-GB2312"/>
          <w:sz w:val="32"/>
          <w:szCs w:val="32"/>
          <w:lang w:eastAsia="zh-CN"/>
        </w:rPr>
        <w:t>农村牧区饮水安全保障工程、</w:t>
      </w:r>
      <w:r>
        <w:rPr>
          <w:rFonts w:hint="eastAsia" w:ascii="CESI仿宋-GB2312" w:hAnsi="CESI仿宋-GB2312" w:eastAsia="CESI仿宋-GB2312" w:cs="CESI仿宋-GB2312"/>
          <w:sz w:val="32"/>
          <w:szCs w:val="32"/>
        </w:rPr>
        <w:t>欠发达国有农场巩固提升、欠发达国有林场巩固提升</w:t>
      </w:r>
      <w:r>
        <w:rPr>
          <w:rFonts w:hint="eastAsia" w:ascii="CESI仿宋-GB2312" w:hAnsi="CESI仿宋-GB2312" w:eastAsia="CESI仿宋-GB2312" w:cs="CESI仿宋-GB2312"/>
          <w:sz w:val="32"/>
          <w:szCs w:val="32"/>
          <w:lang w:eastAsia="zh-CN"/>
        </w:rPr>
        <w:t>任务</w:t>
      </w:r>
      <w:r>
        <w:rPr>
          <w:rFonts w:hint="eastAsia" w:ascii="CESI仿宋-GB2312" w:hAnsi="CESI仿宋-GB2312" w:eastAsia="CESI仿宋-GB2312" w:cs="CESI仿宋-GB2312"/>
          <w:sz w:val="32"/>
          <w:szCs w:val="32"/>
        </w:rPr>
        <w:t>进行分配。资金分配按照因素法进行测算，因素为：相关人群数量及结构</w:t>
      </w:r>
      <w:r>
        <w:rPr>
          <w:rFonts w:hint="eastAsia" w:ascii="CESI仿宋-GB2312" w:hAnsi="CESI仿宋-GB2312" w:eastAsia="CESI仿宋-GB2312" w:cs="CESI仿宋-GB2312"/>
          <w:sz w:val="32"/>
          <w:szCs w:val="32"/>
          <w:lang w:eastAsia="zh-CN"/>
        </w:rPr>
        <w:t>（任务量）</w:t>
      </w:r>
      <w:r>
        <w:rPr>
          <w:rFonts w:hint="eastAsia" w:ascii="CESI仿宋-GB2312" w:hAnsi="CESI仿宋-GB2312" w:eastAsia="CESI仿宋-GB2312" w:cs="CESI仿宋-GB2312"/>
          <w:sz w:val="32"/>
          <w:szCs w:val="32"/>
        </w:rPr>
        <w:t>、相关人群收入、政策因素、</w:t>
      </w:r>
      <w:r>
        <w:rPr>
          <w:rFonts w:hint="eastAsia" w:ascii="CESI仿宋-GB2312" w:hAnsi="CESI仿宋-GB2312" w:eastAsia="CESI仿宋-GB2312" w:cs="CESI仿宋-GB2312"/>
          <w:b w:val="0"/>
          <w:bCs w:val="0"/>
          <w:sz w:val="32"/>
          <w:szCs w:val="32"/>
          <w:lang w:eastAsia="zh-CN"/>
        </w:rPr>
        <w:t>易地搬迁安置区数量、</w:t>
      </w:r>
      <w:r>
        <w:rPr>
          <w:rFonts w:hint="eastAsia" w:ascii="CESI仿宋-GB2312" w:hAnsi="CESI仿宋-GB2312" w:eastAsia="CESI仿宋-GB2312" w:cs="CESI仿宋-GB2312"/>
          <w:b w:val="0"/>
          <w:bCs w:val="0"/>
          <w:color w:val="auto"/>
          <w:sz w:val="32"/>
          <w:szCs w:val="32"/>
          <w:lang w:eastAsia="zh-CN"/>
        </w:rPr>
        <w:t>重点地区倾斜、</w:t>
      </w:r>
      <w:r>
        <w:rPr>
          <w:rFonts w:hint="eastAsia" w:ascii="CESI仿宋-GB2312" w:hAnsi="CESI仿宋-GB2312" w:eastAsia="CESI仿宋-GB2312" w:cs="CESI仿宋-GB2312"/>
          <w:b w:val="0"/>
          <w:bCs w:val="0"/>
          <w:sz w:val="32"/>
          <w:szCs w:val="32"/>
          <w:lang w:eastAsia="zh-CN"/>
        </w:rPr>
        <w:t>造林良种使用率、</w:t>
      </w:r>
      <w:r>
        <w:rPr>
          <w:rFonts w:hint="eastAsia" w:ascii="CESI仿宋-GB2312" w:hAnsi="CESI仿宋-GB2312" w:eastAsia="CESI仿宋-GB2312" w:cs="CESI仿宋-GB2312"/>
          <w:sz w:val="32"/>
          <w:szCs w:val="32"/>
        </w:rPr>
        <w:t>绩效等考核结果等，并根据实际情况进行综合平衡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各项任务按照上述因素分别确定具体测算指标(详见附件)。</w:t>
      </w:r>
      <w:r>
        <w:rPr>
          <w:rFonts w:hint="eastAsia" w:ascii="CESI仿宋-GB2312" w:hAnsi="CESI仿宋-GB2312" w:eastAsia="CESI仿宋-GB2312" w:cs="CESI仿宋-GB2312"/>
          <w:b w:val="0"/>
          <w:bCs w:val="0"/>
          <w:sz w:val="32"/>
          <w:szCs w:val="32"/>
          <w:lang w:eastAsia="zh-CN"/>
        </w:rPr>
        <w:t>按因素法分配资金时，资金的使用要与自治区党委、政府确定的重点工作任务相适应。</w:t>
      </w:r>
    </w:p>
    <w:p>
      <w:pPr>
        <w:snapToGrid w:val="0"/>
        <w:spacing w:line="560" w:lineRule="exact"/>
        <w:ind w:firstLine="643"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sz w:val="32"/>
          <w:szCs w:val="32"/>
        </w:rPr>
        <w:t>第</w:t>
      </w:r>
      <w:r>
        <w:rPr>
          <w:rFonts w:hint="eastAsia" w:ascii="CESI仿宋-GB2312" w:hAnsi="CESI仿宋-GB2312" w:eastAsia="CESI仿宋-GB2312" w:cs="CESI仿宋-GB2312"/>
          <w:b/>
          <w:sz w:val="32"/>
          <w:szCs w:val="32"/>
          <w:lang w:eastAsia="zh-CN"/>
        </w:rPr>
        <w:t>七</w:t>
      </w:r>
      <w:r>
        <w:rPr>
          <w:rFonts w:hint="eastAsia" w:ascii="CESI仿宋-GB2312" w:hAnsi="CESI仿宋-GB2312" w:eastAsia="CESI仿宋-GB2312" w:cs="CESI仿宋-GB2312"/>
          <w:b/>
          <w:sz w:val="32"/>
          <w:szCs w:val="32"/>
        </w:rPr>
        <w:t xml:space="preserve">条 </w:t>
      </w:r>
      <w:r>
        <w:rPr>
          <w:rFonts w:hint="eastAsia" w:ascii="CESI仿宋-GB2312" w:hAnsi="CESI仿宋-GB2312" w:eastAsia="CESI仿宋-GB2312" w:cs="CESI仿宋-GB2312"/>
          <w:b/>
          <w:sz w:val="32"/>
          <w:szCs w:val="32"/>
          <w:lang w:val="en-US" w:eastAsia="zh-CN"/>
        </w:rPr>
        <w:t xml:space="preserve"> </w:t>
      </w:r>
      <w:r>
        <w:rPr>
          <w:rFonts w:hint="eastAsia" w:ascii="CESI仿宋-GB2312" w:hAnsi="CESI仿宋-GB2312" w:eastAsia="CESI仿宋-GB2312" w:cs="CESI仿宋-GB2312"/>
          <w:sz w:val="32"/>
          <w:szCs w:val="32"/>
        </w:rPr>
        <w:t>衔接资金应当统筹安排使用，形成合力。综合考虑脱贫旗县规模和分布，实行分类分档支持。对国家和自治区乡村振兴重点帮扶旗县予以倾斜支持。继续按规定开展统筹整合使用财政涉农涉牧资金试点工作的脱贫旗县，资金使用按照统筹整合有关要求执行。</w:t>
      </w:r>
    </w:p>
    <w:p>
      <w:pPr>
        <w:tabs>
          <w:tab w:val="left" w:pos="2160"/>
        </w:tabs>
        <w:snapToGrid w:val="0"/>
        <w:spacing w:line="560" w:lineRule="exact"/>
        <w:ind w:firstLine="643"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eastAsia="zh-CN"/>
        </w:rPr>
        <w:t>第八条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各盟</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在分配衔接资金时，要统筹兼顾脱贫旗县和非贫困旗县实际情况，推动均衡发展。衔接资金项目审批权限下放到旗县，强化旗县管理责任，旗县可统筹安排不超过30%的到县衔接资金，支持非贫困嘎查村发展产业、补齐必要的基础设施短板，以及旗县乡村振兴规划相关项目。</w:t>
      </w:r>
    </w:p>
    <w:p>
      <w:pPr>
        <w:spacing w:line="560" w:lineRule="exact"/>
        <w:ind w:firstLine="633" w:firstLineChars="197"/>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sz w:val="32"/>
          <w:szCs w:val="32"/>
        </w:rPr>
        <w:t>第</w:t>
      </w:r>
      <w:r>
        <w:rPr>
          <w:rFonts w:hint="eastAsia" w:ascii="CESI仿宋-GB2312" w:hAnsi="CESI仿宋-GB2312" w:eastAsia="CESI仿宋-GB2312" w:cs="CESI仿宋-GB2312"/>
          <w:b/>
          <w:sz w:val="32"/>
          <w:szCs w:val="32"/>
          <w:lang w:eastAsia="zh-CN"/>
        </w:rPr>
        <w:t>九</w:t>
      </w:r>
      <w:r>
        <w:rPr>
          <w:rFonts w:hint="eastAsia" w:ascii="CESI仿宋-GB2312" w:hAnsi="CESI仿宋-GB2312" w:eastAsia="CESI仿宋-GB2312" w:cs="CESI仿宋-GB2312"/>
          <w:b/>
          <w:sz w:val="32"/>
          <w:szCs w:val="32"/>
        </w:rPr>
        <w:t xml:space="preserve">条 </w:t>
      </w:r>
      <w:r>
        <w:rPr>
          <w:rFonts w:hint="eastAsia" w:ascii="CESI仿宋-GB2312" w:hAnsi="CESI仿宋-GB2312" w:eastAsia="CESI仿宋-GB2312" w:cs="CESI仿宋-GB2312"/>
          <w:sz w:val="32"/>
          <w:szCs w:val="32"/>
        </w:rPr>
        <w:t>各级财政部门负责预算安排、审核资金分配建议方案和下达资金，指导各级乡村振兴、发展改革、民委、农牧、</w:t>
      </w:r>
      <w:r>
        <w:rPr>
          <w:rFonts w:hint="eastAsia" w:ascii="CESI仿宋-GB2312" w:hAnsi="CESI仿宋-GB2312" w:eastAsia="CESI仿宋-GB2312" w:cs="CESI仿宋-GB2312"/>
          <w:b w:val="0"/>
          <w:bCs w:val="0"/>
          <w:sz w:val="32"/>
          <w:szCs w:val="32"/>
          <w:lang w:eastAsia="zh-CN"/>
        </w:rPr>
        <w:t>水利、</w:t>
      </w:r>
      <w:r>
        <w:rPr>
          <w:rFonts w:hint="eastAsia" w:ascii="CESI仿宋-GB2312" w:hAnsi="CESI仿宋-GB2312" w:eastAsia="CESI仿宋-GB2312" w:cs="CESI仿宋-GB2312"/>
          <w:sz w:val="32"/>
          <w:szCs w:val="32"/>
        </w:rPr>
        <w:t>林草等行业主管部门（以下简称行业主管部门）及地方加强资金监管。各级行业主管部门负责提出资金分配建议方案、资金和项目使用管理等工作，按照权责对等原则落实监管责任。</w:t>
      </w:r>
    </w:p>
    <w:p>
      <w:pPr>
        <w:spacing w:line="560" w:lineRule="exact"/>
        <w:ind w:firstLine="633" w:firstLineChars="197"/>
        <w:rPr>
          <w:rFonts w:hint="eastAsia" w:ascii="仿宋_GB2312" w:hAnsi="方正仿宋_GBK" w:eastAsia="仿宋_GB2312" w:cs="方正仿宋_GBK"/>
          <w:b w:val="0"/>
          <w:bCs w:val="0"/>
          <w:kern w:val="0"/>
          <w:sz w:val="32"/>
          <w:szCs w:val="32"/>
          <w:lang w:eastAsia="zh-CN"/>
        </w:rPr>
      </w:pPr>
      <w:r>
        <w:rPr>
          <w:rFonts w:hint="eastAsia" w:ascii="CESI仿宋-GB2312" w:hAnsi="CESI仿宋-GB2312" w:eastAsia="CESI仿宋-GB2312" w:cs="CESI仿宋-GB2312"/>
          <w:b/>
          <w:bCs/>
          <w:sz w:val="32"/>
          <w:szCs w:val="32"/>
          <w:lang w:eastAsia="zh-CN"/>
        </w:rPr>
        <w:t>第十条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自治区</w:t>
      </w:r>
      <w:r>
        <w:rPr>
          <w:rFonts w:hint="eastAsia" w:ascii="CESI仿宋-GB2312" w:hAnsi="CESI仿宋-GB2312" w:eastAsia="CESI仿宋-GB2312" w:cs="CESI仿宋-GB2312"/>
          <w:sz w:val="32"/>
          <w:szCs w:val="32"/>
          <w:lang w:eastAsia="zh-CN"/>
        </w:rPr>
        <w:t>各行业主管部门</w:t>
      </w:r>
      <w:r>
        <w:rPr>
          <w:rFonts w:hint="eastAsia" w:ascii="CESI仿宋-GB2312" w:hAnsi="CESI仿宋-GB2312" w:eastAsia="CESI仿宋-GB2312" w:cs="CESI仿宋-GB2312"/>
          <w:b w:val="0"/>
          <w:bCs w:val="0"/>
          <w:sz w:val="32"/>
          <w:szCs w:val="32"/>
        </w:rPr>
        <w:t>根据职责分工，在</w:t>
      </w:r>
      <w:r>
        <w:rPr>
          <w:rFonts w:hint="eastAsia" w:ascii="仿宋_GB2312" w:hAnsi="方正仿宋_GBK" w:eastAsia="仿宋_GB2312" w:cs="方正仿宋_GBK"/>
          <w:b w:val="0"/>
          <w:bCs w:val="0"/>
          <w:kern w:val="0"/>
          <w:sz w:val="32"/>
          <w:szCs w:val="32"/>
        </w:rPr>
        <w:t>收到</w:t>
      </w:r>
      <w:r>
        <w:rPr>
          <w:rFonts w:hint="eastAsia" w:ascii="CESI仿宋-GB2312" w:hAnsi="CESI仿宋-GB2312" w:eastAsia="CESI仿宋-GB2312" w:cs="CESI仿宋-GB2312"/>
          <w:b w:val="0"/>
          <w:bCs w:val="0"/>
          <w:sz w:val="32"/>
          <w:szCs w:val="32"/>
          <w:lang w:eastAsia="zh-CN"/>
        </w:rPr>
        <w:t>中央衔接</w:t>
      </w:r>
      <w:r>
        <w:rPr>
          <w:rFonts w:hint="eastAsia" w:ascii="仿宋_GB2312" w:hAnsi="方正仿宋_GBK" w:eastAsia="仿宋_GB2312" w:cs="方正仿宋_GBK"/>
          <w:b w:val="0"/>
          <w:bCs w:val="0"/>
          <w:kern w:val="0"/>
          <w:sz w:val="32"/>
          <w:szCs w:val="32"/>
        </w:rPr>
        <w:t>资金指标10日内将资金分配意见送达财政厅，财政厅审核</w:t>
      </w:r>
      <w:r>
        <w:rPr>
          <w:rFonts w:hint="eastAsia" w:ascii="仿宋_GB2312" w:hAnsi="方正仿宋_GBK" w:eastAsia="仿宋_GB2312" w:cs="方正仿宋_GBK"/>
          <w:b w:val="0"/>
          <w:bCs w:val="0"/>
          <w:kern w:val="0"/>
          <w:sz w:val="32"/>
          <w:szCs w:val="32"/>
          <w:lang w:eastAsia="zh-CN"/>
        </w:rPr>
        <w:t>并报请财政部同意后及时下达</w:t>
      </w:r>
      <w:r>
        <w:rPr>
          <w:rFonts w:hint="eastAsia" w:ascii="仿宋_GB2312" w:hAnsi="方正仿宋_GBK" w:eastAsia="仿宋_GB2312" w:cs="方正仿宋_GBK"/>
          <w:b w:val="0"/>
          <w:bCs w:val="0"/>
          <w:kern w:val="0"/>
          <w:sz w:val="32"/>
          <w:szCs w:val="32"/>
        </w:rPr>
        <w:t>盟市</w:t>
      </w:r>
      <w:r>
        <w:rPr>
          <w:rFonts w:hint="eastAsia" w:ascii="仿宋_GB2312" w:hAnsi="方正仿宋_GBK" w:eastAsia="仿宋_GB2312" w:cs="方正仿宋_GBK"/>
          <w:b w:val="0"/>
          <w:bCs w:val="0"/>
          <w:kern w:val="0"/>
          <w:sz w:val="32"/>
          <w:szCs w:val="32"/>
          <w:lang w:eastAsia="zh-CN"/>
        </w:rPr>
        <w:t>，</w:t>
      </w:r>
      <w:r>
        <w:rPr>
          <w:rFonts w:hint="eastAsia" w:ascii="仿宋_GB2312" w:hAnsi="方正仿宋_GBK" w:eastAsia="仿宋_GB2312" w:cs="方正仿宋_GBK"/>
          <w:b w:val="0"/>
          <w:bCs w:val="0"/>
          <w:kern w:val="0"/>
          <w:sz w:val="32"/>
          <w:szCs w:val="32"/>
        </w:rPr>
        <w:t>盟市在10日内正式下达旗县（市、区）</w:t>
      </w:r>
      <w:r>
        <w:rPr>
          <w:rFonts w:hint="eastAsia" w:ascii="仿宋_GB2312" w:hAnsi="方正仿宋_GBK" w:eastAsia="仿宋_GB2312" w:cs="方正仿宋_GBK"/>
          <w:b w:val="0"/>
          <w:bCs w:val="0"/>
          <w:kern w:val="0"/>
          <w:sz w:val="32"/>
          <w:szCs w:val="32"/>
          <w:lang w:eastAsia="zh-CN"/>
        </w:rPr>
        <w:t>。</w:t>
      </w:r>
    </w:p>
    <w:p>
      <w:pPr>
        <w:spacing w:line="560" w:lineRule="exact"/>
        <w:ind w:firstLine="633" w:firstLineChars="197"/>
        <w:rPr>
          <w:rFonts w:hint="eastAsia" w:ascii="CESI仿宋-GB2312" w:hAnsi="CESI仿宋-GB2312" w:eastAsia="CESI仿宋-GB2312" w:cs="CESI仿宋-GB2312"/>
          <w:sz w:val="32"/>
          <w:szCs w:val="32"/>
          <w:lang w:eastAsia="zh-CN"/>
        </w:rPr>
      </w:pPr>
      <w:r>
        <w:rPr>
          <w:rFonts w:hint="eastAsia" w:ascii="仿宋_GB2312" w:hAnsi="方正仿宋_GBK" w:eastAsia="仿宋_GB2312" w:cs="方正仿宋_GBK"/>
          <w:b/>
          <w:bCs/>
          <w:kern w:val="0"/>
          <w:sz w:val="32"/>
          <w:szCs w:val="32"/>
          <w:lang w:eastAsia="zh-CN"/>
        </w:rPr>
        <w:t>第十一条</w:t>
      </w:r>
      <w:r>
        <w:rPr>
          <w:rFonts w:hint="eastAsia" w:ascii="仿宋_GB2312" w:hAnsi="方正仿宋_GBK" w:eastAsia="仿宋_GB2312" w:cs="方正仿宋_GBK"/>
          <w:b w:val="0"/>
          <w:bCs w:val="0"/>
          <w:kern w:val="0"/>
          <w:sz w:val="32"/>
          <w:szCs w:val="32"/>
          <w:lang w:val="en-US" w:eastAsia="zh-CN"/>
        </w:rPr>
        <w:t xml:space="preserve">  </w:t>
      </w:r>
      <w:r>
        <w:rPr>
          <w:rFonts w:hint="eastAsia" w:ascii="CESI仿宋-GB2312" w:hAnsi="CESI仿宋-GB2312" w:eastAsia="CESI仿宋-GB2312" w:cs="CESI仿宋-GB2312"/>
          <w:sz w:val="32"/>
          <w:szCs w:val="32"/>
        </w:rPr>
        <w:t>自治区</w:t>
      </w:r>
      <w:r>
        <w:rPr>
          <w:rFonts w:hint="eastAsia" w:ascii="仿宋_GB2312" w:hAnsi="方正仿宋_GBK" w:eastAsia="仿宋_GB2312" w:cs="方正仿宋_GBK"/>
          <w:b w:val="0"/>
          <w:bCs w:val="0"/>
          <w:kern w:val="0"/>
          <w:sz w:val="32"/>
          <w:szCs w:val="32"/>
          <w:lang w:eastAsia="zh-CN"/>
        </w:rPr>
        <w:t>各行业主管部门在</w:t>
      </w:r>
      <w:r>
        <w:rPr>
          <w:rFonts w:hint="eastAsia" w:ascii="CESI仿宋-GB2312" w:hAnsi="CESI仿宋-GB2312" w:eastAsia="CESI仿宋-GB2312" w:cs="CESI仿宋-GB2312"/>
          <w:b w:val="0"/>
          <w:bCs w:val="0"/>
          <w:sz w:val="32"/>
          <w:szCs w:val="32"/>
        </w:rPr>
        <w:t>自治区人大批准预算</w:t>
      </w:r>
      <w:r>
        <w:rPr>
          <w:rFonts w:hint="eastAsia" w:ascii="CESI仿宋-GB2312" w:hAnsi="CESI仿宋-GB2312" w:eastAsia="CESI仿宋-GB2312" w:cs="CESI仿宋-GB2312"/>
          <w:b w:val="0"/>
          <w:bCs w:val="0"/>
          <w:sz w:val="32"/>
          <w:szCs w:val="32"/>
          <w:lang w:eastAsia="zh-CN"/>
        </w:rPr>
        <w:t>或收到财政厅提出资金分配意见告知函</w:t>
      </w:r>
      <w:r>
        <w:rPr>
          <w:rFonts w:hint="eastAsia" w:ascii="CESI仿宋-GB2312" w:hAnsi="CESI仿宋-GB2312" w:eastAsia="CESI仿宋-GB2312" w:cs="CESI仿宋-GB2312"/>
          <w:b w:val="0"/>
          <w:bCs w:val="0"/>
          <w:sz w:val="32"/>
          <w:szCs w:val="32"/>
        </w:rPr>
        <w:t>后</w:t>
      </w:r>
      <w:r>
        <w:rPr>
          <w:rFonts w:hint="eastAsia" w:ascii="CESI仿宋-GB2312" w:hAnsi="CESI仿宋-GB2312" w:eastAsia="CESI仿宋-GB2312" w:cs="CESI仿宋-GB2312"/>
          <w:b w:val="0"/>
          <w:bCs w:val="0"/>
          <w:sz w:val="32"/>
          <w:szCs w:val="32"/>
          <w:lang w:eastAsia="zh-CN"/>
        </w:rPr>
        <w:t>的规定时间</w:t>
      </w:r>
      <w:r>
        <w:rPr>
          <w:rFonts w:hint="eastAsia" w:ascii="CESI仿宋-GB2312" w:hAnsi="CESI仿宋-GB2312" w:eastAsia="CESI仿宋-GB2312" w:cs="CESI仿宋-GB2312"/>
          <w:b w:val="0"/>
          <w:bCs w:val="0"/>
          <w:sz w:val="32"/>
          <w:szCs w:val="32"/>
        </w:rPr>
        <w:t>内</w:t>
      </w:r>
      <w:r>
        <w:rPr>
          <w:rFonts w:hint="eastAsia" w:ascii="CESI仿宋-GB2312" w:hAnsi="CESI仿宋-GB2312" w:eastAsia="CESI仿宋-GB2312" w:cs="CESI仿宋-GB2312"/>
          <w:b w:val="0"/>
          <w:bCs w:val="0"/>
          <w:sz w:val="32"/>
          <w:szCs w:val="32"/>
          <w:lang w:eastAsia="zh-CN"/>
        </w:rPr>
        <w:t>将</w:t>
      </w:r>
      <w:r>
        <w:rPr>
          <w:rFonts w:hint="eastAsia" w:ascii="CESI仿宋-GB2312" w:hAnsi="CESI仿宋-GB2312" w:eastAsia="CESI仿宋-GB2312" w:cs="CESI仿宋-GB2312"/>
          <w:b w:val="0"/>
          <w:bCs w:val="0"/>
          <w:sz w:val="32"/>
          <w:szCs w:val="32"/>
        </w:rPr>
        <w:t>当年</w:t>
      </w:r>
      <w:r>
        <w:rPr>
          <w:rFonts w:hint="eastAsia" w:ascii="CESI仿宋-GB2312" w:hAnsi="CESI仿宋-GB2312" w:eastAsia="CESI仿宋-GB2312" w:cs="CESI仿宋-GB2312"/>
          <w:b w:val="0"/>
          <w:bCs w:val="0"/>
          <w:sz w:val="32"/>
          <w:szCs w:val="32"/>
          <w:lang w:eastAsia="zh-CN"/>
        </w:rPr>
        <w:t>自治区本级安排的</w:t>
      </w:r>
      <w:r>
        <w:rPr>
          <w:rFonts w:hint="eastAsia" w:ascii="CESI仿宋-GB2312" w:hAnsi="CESI仿宋-GB2312" w:eastAsia="CESI仿宋-GB2312" w:cs="CESI仿宋-GB2312"/>
          <w:b w:val="0"/>
          <w:bCs w:val="0"/>
          <w:sz w:val="32"/>
          <w:szCs w:val="32"/>
        </w:rPr>
        <w:t>衔接资金分配建议方案送达财政厅，财政厅根据预算管理要求、年度预算安排，结合行业主管部门资金分配建议研究</w:t>
      </w:r>
      <w:r>
        <w:rPr>
          <w:rFonts w:hint="eastAsia" w:ascii="CESI仿宋-GB2312" w:hAnsi="CESI仿宋-GB2312" w:eastAsia="CESI仿宋-GB2312" w:cs="CESI仿宋-GB2312"/>
          <w:b w:val="0"/>
          <w:bCs w:val="0"/>
          <w:sz w:val="32"/>
          <w:szCs w:val="32"/>
          <w:lang w:eastAsia="zh-CN"/>
        </w:rPr>
        <w:t>审核</w:t>
      </w:r>
      <w:r>
        <w:rPr>
          <w:rFonts w:hint="eastAsia" w:ascii="CESI仿宋-GB2312" w:hAnsi="CESI仿宋-GB2312" w:eastAsia="CESI仿宋-GB2312" w:cs="CESI仿宋-GB2312"/>
          <w:b w:val="0"/>
          <w:bCs w:val="0"/>
          <w:sz w:val="32"/>
          <w:szCs w:val="32"/>
        </w:rPr>
        <w:t>分配方案，</w:t>
      </w:r>
      <w:r>
        <w:rPr>
          <w:rFonts w:hint="eastAsia" w:ascii="CESI仿宋-GB2312" w:hAnsi="CESI仿宋-GB2312" w:eastAsia="CESI仿宋-GB2312" w:cs="CESI仿宋-GB2312"/>
          <w:b w:val="0"/>
          <w:bCs w:val="0"/>
          <w:sz w:val="32"/>
          <w:szCs w:val="32"/>
          <w:lang w:eastAsia="zh-CN"/>
        </w:rPr>
        <w:t>会同行业主管部门按程序报自治区人民政府同意后，</w:t>
      </w:r>
      <w:r>
        <w:rPr>
          <w:rFonts w:hint="eastAsia" w:ascii="CESI仿宋-GB2312" w:hAnsi="CESI仿宋-GB2312" w:eastAsia="CESI仿宋-GB2312" w:cs="CESI仿宋-GB2312"/>
          <w:sz w:val="32"/>
          <w:szCs w:val="32"/>
        </w:rPr>
        <w:t>在30日内将衔接资金预算下达盟</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市</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财政部门，并抄送财政部内蒙古监管局，盟</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市</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财政部门严格按照法定时限下达资金</w:t>
      </w:r>
      <w:r>
        <w:rPr>
          <w:rFonts w:hint="eastAsia" w:ascii="CESI仿宋-GB2312" w:hAnsi="CESI仿宋-GB2312" w:eastAsia="CESI仿宋-GB2312" w:cs="CESI仿宋-GB2312"/>
          <w:sz w:val="32"/>
          <w:szCs w:val="32"/>
          <w:lang w:eastAsia="zh-CN"/>
        </w:rPr>
        <w:t>。</w:t>
      </w:r>
    </w:p>
    <w:p>
      <w:pPr>
        <w:spacing w:line="560" w:lineRule="exact"/>
        <w:ind w:firstLine="633" w:firstLineChars="197"/>
        <w:rPr>
          <w:rFonts w:hint="default"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bCs/>
          <w:sz w:val="32"/>
          <w:szCs w:val="32"/>
          <w:lang w:val="en-US" w:eastAsia="zh-CN"/>
        </w:rPr>
        <w:t xml:space="preserve">第十二条  </w:t>
      </w:r>
      <w:r>
        <w:rPr>
          <w:rFonts w:hint="eastAsia" w:ascii="CESI仿宋-GB2312" w:hAnsi="CESI仿宋-GB2312" w:eastAsia="CESI仿宋-GB2312" w:cs="CESI仿宋-GB2312"/>
          <w:b w:val="0"/>
          <w:bCs w:val="0"/>
          <w:sz w:val="32"/>
          <w:szCs w:val="32"/>
          <w:lang w:val="en-US" w:eastAsia="zh-CN"/>
        </w:rPr>
        <w:t>各行业主管部门应按照本办法要求在规定时间内提出自治区本级衔接资金的分配意见，未按规定及时提出分配意见的，由自治区乡村振兴局、财政厅研究分配意见报自治区人民政府同意后下达资金。</w:t>
      </w:r>
    </w:p>
    <w:p>
      <w:pPr>
        <w:spacing w:line="560" w:lineRule="exact"/>
        <w:ind w:firstLine="633" w:firstLineChars="197"/>
        <w:rPr>
          <w:rFonts w:hint="eastAsia" w:ascii="CESI仿宋-GB2312" w:hAnsi="CESI仿宋-GB2312" w:eastAsia="CESI仿宋-GB2312" w:cs="CESI仿宋-GB2312"/>
          <w:b/>
          <w:bCs/>
          <w:sz w:val="32"/>
          <w:szCs w:val="32"/>
          <w:lang w:eastAsia="zh-CN"/>
        </w:rPr>
      </w:pPr>
      <w:r>
        <w:rPr>
          <w:rFonts w:hint="eastAsia" w:ascii="CESI仿宋-GB2312" w:hAnsi="CESI仿宋-GB2312" w:eastAsia="CESI仿宋-GB2312" w:cs="CESI仿宋-GB2312"/>
          <w:b/>
          <w:bCs/>
          <w:sz w:val="32"/>
          <w:szCs w:val="32"/>
          <w:lang w:val="en-US" w:eastAsia="zh-CN"/>
        </w:rPr>
        <w:t>第十三条</w:t>
      </w:r>
      <w:r>
        <w:rPr>
          <w:rFonts w:hint="eastAsia" w:ascii="CESI仿宋-GB2312" w:hAnsi="CESI仿宋-GB2312" w:eastAsia="CESI仿宋-GB2312" w:cs="CESI仿宋-GB2312"/>
          <w:sz w:val="32"/>
          <w:szCs w:val="32"/>
          <w:lang w:val="en-US" w:eastAsia="zh-CN"/>
        </w:rPr>
        <w:t xml:space="preserve">  衔接资金的支付管理，按照财政</w:t>
      </w:r>
      <w:r>
        <w:rPr>
          <w:rFonts w:hint="eastAsia" w:ascii="CESI仿宋-GB2312" w:hAnsi="CESI仿宋-GB2312" w:eastAsia="CESI仿宋-GB2312" w:cs="CESI仿宋-GB2312"/>
          <w:sz w:val="32"/>
          <w:szCs w:val="32"/>
        </w:rPr>
        <w:t>国库</w:t>
      </w:r>
      <w:r>
        <w:rPr>
          <w:rFonts w:hint="eastAsia" w:ascii="CESI仿宋-GB2312" w:hAnsi="CESI仿宋-GB2312" w:eastAsia="CESI仿宋-GB2312" w:cs="CESI仿宋-GB2312"/>
          <w:sz w:val="32"/>
          <w:szCs w:val="32"/>
          <w:lang w:eastAsia="zh-CN"/>
        </w:rPr>
        <w:t>集中</w:t>
      </w:r>
      <w:r>
        <w:rPr>
          <w:rFonts w:hint="eastAsia" w:ascii="CESI仿宋-GB2312" w:hAnsi="CESI仿宋-GB2312" w:eastAsia="CESI仿宋-GB2312" w:cs="CESI仿宋-GB2312"/>
          <w:sz w:val="32"/>
          <w:szCs w:val="32"/>
        </w:rPr>
        <w:t>支付规定执行。</w:t>
      </w:r>
      <w:r>
        <w:rPr>
          <w:rFonts w:hint="eastAsia" w:ascii="CESI仿宋-GB2312" w:hAnsi="CESI仿宋-GB2312" w:eastAsia="CESI仿宋-GB2312" w:cs="CESI仿宋-GB2312"/>
          <w:b w:val="0"/>
          <w:bCs w:val="0"/>
          <w:sz w:val="32"/>
          <w:szCs w:val="32"/>
          <w:lang w:eastAsia="zh-CN"/>
        </w:rPr>
        <w:t>结转结余的衔接资金，按照中央和自治区关于结转结余资金管理的相关规定管理。</w:t>
      </w:r>
    </w:p>
    <w:p>
      <w:pPr>
        <w:spacing w:line="560" w:lineRule="exact"/>
        <w:ind w:firstLine="630" w:firstLineChars="197"/>
        <w:rPr>
          <w:rFonts w:hint="eastAsia" w:ascii="CESI仿宋-GB2312" w:hAnsi="CESI仿宋-GB2312" w:eastAsia="CESI仿宋-GB2312" w:cs="CESI仿宋-GB2312"/>
          <w:sz w:val="32"/>
          <w:szCs w:val="32"/>
        </w:rPr>
      </w:pPr>
    </w:p>
    <w:p>
      <w:pPr>
        <w:numPr>
          <w:ilvl w:val="0"/>
          <w:numId w:val="1"/>
        </w:numPr>
        <w:spacing w:line="560" w:lineRule="exact"/>
        <w:ind w:left="0" w:leftChars="0" w:firstLine="0" w:firstLineChars="0"/>
        <w:jc w:val="center"/>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 xml:space="preserve"> 项目管理</w:t>
      </w:r>
    </w:p>
    <w:p>
      <w:pPr>
        <w:numPr>
          <w:ilvl w:val="0"/>
          <w:numId w:val="0"/>
        </w:numPr>
        <w:spacing w:line="560" w:lineRule="exact"/>
        <w:ind w:leftChars="0"/>
        <w:jc w:val="both"/>
        <w:rPr>
          <w:rFonts w:hint="default" w:ascii="CESI仿宋-GB2312" w:hAnsi="CESI仿宋-GB2312" w:eastAsia="CESI仿宋-GB2312" w:cs="CESI仿宋-GB2312"/>
          <w:sz w:val="32"/>
          <w:szCs w:val="32"/>
          <w:lang w:val="en-US" w:eastAsia="zh-CN"/>
        </w:rPr>
      </w:pPr>
    </w:p>
    <w:p>
      <w:pPr>
        <w:numPr>
          <w:ilvl w:val="0"/>
          <w:numId w:val="0"/>
        </w:numPr>
        <w:snapToGrid w:val="0"/>
        <w:spacing w:line="560" w:lineRule="exact"/>
        <w:ind w:firstLine="643"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bCs w:val="0"/>
          <w:sz w:val="32"/>
          <w:szCs w:val="32"/>
          <w:lang w:val="en-US" w:eastAsia="zh-CN"/>
        </w:rPr>
        <w:t xml:space="preserve">第十四条 </w:t>
      </w:r>
      <w:r>
        <w:rPr>
          <w:rFonts w:hint="eastAsia" w:ascii="CESI仿宋-GB2312" w:hAnsi="CESI仿宋-GB2312" w:eastAsia="CESI仿宋-GB2312" w:cs="CESI仿宋-GB2312"/>
          <w:b w:val="0"/>
          <w:bCs/>
          <w:sz w:val="32"/>
          <w:szCs w:val="32"/>
          <w:lang w:val="en-US" w:eastAsia="zh-CN"/>
        </w:rPr>
        <w:t xml:space="preserve"> 自治区各</w:t>
      </w:r>
      <w:r>
        <w:rPr>
          <w:rFonts w:hint="eastAsia" w:ascii="CESI仿宋-GB2312" w:hAnsi="CESI仿宋-GB2312" w:eastAsia="CESI仿宋-GB2312" w:cs="CESI仿宋-GB2312"/>
          <w:sz w:val="32"/>
          <w:szCs w:val="32"/>
        </w:rPr>
        <w:t>行业主管部门</w:t>
      </w:r>
      <w:r>
        <w:rPr>
          <w:rFonts w:hint="eastAsia" w:ascii="CESI仿宋-GB2312" w:hAnsi="CESI仿宋-GB2312" w:eastAsia="CESI仿宋-GB2312" w:cs="CESI仿宋-GB2312"/>
          <w:sz w:val="32"/>
          <w:szCs w:val="32"/>
          <w:lang w:eastAsia="zh-CN"/>
        </w:rPr>
        <w:t>负责</w:t>
      </w:r>
      <w:r>
        <w:rPr>
          <w:rFonts w:hint="eastAsia" w:ascii="CESI仿宋-GB2312" w:hAnsi="CESI仿宋-GB2312" w:eastAsia="CESI仿宋-GB2312" w:cs="CESI仿宋-GB2312"/>
          <w:sz w:val="32"/>
          <w:szCs w:val="32"/>
        </w:rPr>
        <w:t>组织本行业开展项目库建设，编制项目入库指南，完善项目库建设管理制度，推动项目库共建共享。</w:t>
      </w:r>
      <w:r>
        <w:rPr>
          <w:rFonts w:hint="eastAsia" w:ascii="CESI仿宋-GB2312" w:hAnsi="CESI仿宋-GB2312" w:eastAsia="CESI仿宋-GB2312" w:cs="CESI仿宋-GB2312"/>
          <w:b w:val="0"/>
          <w:bCs w:val="0"/>
          <w:sz w:val="32"/>
          <w:szCs w:val="32"/>
        </w:rPr>
        <w:t>各地要提前做好项目储备，严格项目论证入库，</w:t>
      </w:r>
      <w:r>
        <w:rPr>
          <w:rFonts w:hint="eastAsia" w:ascii="仿宋_GB2312" w:hAnsi="仿宋_GB2312" w:eastAsia="仿宋_GB2312" w:cs="仿宋_GB2312"/>
          <w:b w:val="0"/>
          <w:bCs w:val="0"/>
          <w:kern w:val="2"/>
          <w:sz w:val="32"/>
          <w:szCs w:val="32"/>
        </w:rPr>
        <w:t>入库前要</w:t>
      </w:r>
      <w:r>
        <w:rPr>
          <w:rFonts w:hint="eastAsia" w:ascii="仿宋_GB2312" w:hAnsi="仿宋_GB2312" w:eastAsia="仿宋_GB2312" w:cs="仿宋_GB2312"/>
          <w:b w:val="0"/>
          <w:bCs w:val="0"/>
          <w:kern w:val="2"/>
          <w:sz w:val="32"/>
          <w:szCs w:val="32"/>
          <w:lang w:eastAsia="zh-CN"/>
        </w:rPr>
        <w:t>编制可行性研究报告（项目建议书或实施方案）</w:t>
      </w:r>
      <w:r>
        <w:rPr>
          <w:rFonts w:hint="eastAsia" w:ascii="CESI仿宋-GB2312" w:hAnsi="CESI仿宋-GB2312" w:eastAsia="CESI仿宋-GB2312" w:cs="CESI仿宋-GB2312"/>
          <w:b w:val="0"/>
          <w:bCs w:val="0"/>
          <w:sz w:val="32"/>
          <w:szCs w:val="32"/>
          <w:lang w:eastAsia="zh-CN"/>
        </w:rPr>
        <w:t>，完成立项审批等前期手续；纳入年度实施计划的项目，要明确建设内容、投资概算、预期绩效目标、利益联结机制、实施期限等，完成能评、环评、用地等前期手续。旗县各行业主管部门须在每年</w:t>
      </w:r>
      <w:r>
        <w:rPr>
          <w:rFonts w:hint="eastAsia" w:ascii="CESI仿宋-GB2312" w:hAnsi="CESI仿宋-GB2312" w:eastAsia="CESI仿宋-GB2312" w:cs="CESI仿宋-GB2312"/>
          <w:b w:val="0"/>
          <w:bCs w:val="0"/>
          <w:sz w:val="32"/>
          <w:szCs w:val="32"/>
          <w:lang w:val="en-US" w:eastAsia="zh-CN"/>
        </w:rPr>
        <w:t>11月底前完成项目审核入库工作，自治区将项目入库情况作为下一年度资金分配因素。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val="en-US" w:eastAsia="zh-CN"/>
        </w:rPr>
        <w:t xml:space="preserve">第十五条  </w:t>
      </w:r>
      <w:r>
        <w:rPr>
          <w:rFonts w:hint="eastAsia" w:ascii="CESI仿宋-GB2312" w:hAnsi="CESI仿宋-GB2312" w:eastAsia="CESI仿宋-GB2312" w:cs="CESI仿宋-GB2312"/>
          <w:sz w:val="32"/>
          <w:szCs w:val="32"/>
        </w:rPr>
        <w:t>衔接资金支持的项目原则上从巩固拓展脱贫攻坚成果和乡村振兴项目库</w:t>
      </w:r>
      <w:r>
        <w:rPr>
          <w:rFonts w:hint="eastAsia" w:ascii="CESI仿宋-GB2312" w:hAnsi="CESI仿宋-GB2312" w:eastAsia="CESI仿宋-GB2312" w:cs="CESI仿宋-GB2312"/>
          <w:sz w:val="32"/>
          <w:szCs w:val="32"/>
          <w:lang w:eastAsia="zh-CN"/>
        </w:rPr>
        <w:t>中</w:t>
      </w:r>
      <w:r>
        <w:rPr>
          <w:rFonts w:hint="eastAsia" w:ascii="CESI仿宋-GB2312" w:hAnsi="CESI仿宋-GB2312" w:eastAsia="CESI仿宋-GB2312" w:cs="CESI仿宋-GB2312"/>
          <w:sz w:val="32"/>
          <w:szCs w:val="32"/>
        </w:rPr>
        <w:t>选择，且符合本办法要求。</w:t>
      </w:r>
      <w:r>
        <w:rPr>
          <w:rFonts w:hint="eastAsia" w:ascii="CESI仿宋-GB2312" w:hAnsi="CESI仿宋-GB2312" w:eastAsia="CESI仿宋-GB2312" w:cs="CESI仿宋-GB2312"/>
          <w:b w:val="0"/>
          <w:bCs w:val="0"/>
          <w:sz w:val="32"/>
          <w:szCs w:val="32"/>
          <w:lang w:eastAsia="zh-CN"/>
        </w:rPr>
        <w:t>各旗县</w:t>
      </w:r>
      <w:r>
        <w:rPr>
          <w:rFonts w:hint="eastAsia" w:ascii="CESI仿宋-GB2312" w:hAnsi="CESI仿宋-GB2312" w:eastAsia="CESI仿宋-GB2312" w:cs="CESI仿宋-GB2312"/>
          <w:b w:val="0"/>
          <w:bCs w:val="0"/>
          <w:sz w:val="32"/>
          <w:szCs w:val="32"/>
        </w:rPr>
        <w:t>按照不超过</w:t>
      </w:r>
      <w:r>
        <w:rPr>
          <w:rFonts w:hint="eastAsia" w:ascii="CESI仿宋-GB2312" w:hAnsi="CESI仿宋-GB2312" w:eastAsia="CESI仿宋-GB2312" w:cs="CESI仿宋-GB2312"/>
          <w:b w:val="0"/>
          <w:bCs w:val="0"/>
          <w:sz w:val="32"/>
          <w:szCs w:val="32"/>
          <w:lang w:val="en-US" w:eastAsia="zh-CN"/>
        </w:rPr>
        <w:t>1</w:t>
      </w:r>
      <w:r>
        <w:rPr>
          <w:rFonts w:hint="eastAsia" w:ascii="CESI仿宋-GB2312" w:hAnsi="CESI仿宋-GB2312" w:eastAsia="CESI仿宋-GB2312" w:cs="CESI仿宋-GB2312"/>
          <w:b w:val="0"/>
          <w:bCs w:val="0"/>
          <w:sz w:val="32"/>
          <w:szCs w:val="32"/>
        </w:rPr>
        <w:t>%的比例从自治区衔接资金中统筹安排项目管理费</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b w:val="0"/>
          <w:bCs w:val="0"/>
          <w:sz w:val="32"/>
          <w:szCs w:val="32"/>
        </w:rPr>
        <w:t>项目管理费主要用于项目前期设计、评审、招标、</w:t>
      </w:r>
      <w:r>
        <w:rPr>
          <w:rFonts w:hint="eastAsia" w:ascii="CESI仿宋-GB2312" w:hAnsi="CESI仿宋-GB2312" w:eastAsia="CESI仿宋-GB2312" w:cs="CESI仿宋-GB2312"/>
          <w:sz w:val="32"/>
          <w:szCs w:val="32"/>
        </w:rPr>
        <w:t>监理以及验收等与项目管理相关的支出。</w:t>
      </w:r>
    </w:p>
    <w:p>
      <w:pPr>
        <w:keepNext w:val="0"/>
        <w:keepLines w:val="0"/>
        <w:pageBreakBefore w:val="0"/>
        <w:widowControl w:val="0"/>
        <w:kinsoku/>
        <w:wordWrap/>
        <w:overflowPunct/>
        <w:topLinePunct w:val="0"/>
        <w:autoSpaceDE/>
        <w:autoSpaceDN/>
        <w:bidi w:val="0"/>
        <w:adjustRightInd/>
        <w:snapToGrid w:val="0"/>
        <w:spacing w:line="560" w:lineRule="exact"/>
        <w:ind w:firstLine="633" w:firstLineChars="197"/>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eastAsia="zh-CN"/>
        </w:rPr>
        <w:t>第十六条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属于政府采购管理范围的项目，执行政府采购相关规定，村级微小型项目可按照村民民主议事方式直接委托村级组织自建自营。</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7"/>
        <w:textAlignment w:val="auto"/>
        <w:rPr>
          <w:rFonts w:hint="eastAsia" w:ascii="CESI仿宋-GB2312" w:hAnsi="CESI仿宋-GB2312" w:eastAsia="CESI仿宋-GB2312" w:cs="CESI仿宋-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 xml:space="preserve"> 资金管理与监督评价</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jc w:val="both"/>
        <w:textAlignment w:val="auto"/>
        <w:rPr>
          <w:rFonts w:hint="default"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33" w:firstLineChars="197"/>
        <w:textAlignment w:val="auto"/>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bCs/>
          <w:sz w:val="32"/>
          <w:szCs w:val="32"/>
          <w:lang w:val="en-US" w:eastAsia="zh-CN"/>
        </w:rPr>
        <w:t>第十七条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b w:val="0"/>
          <w:bCs w:val="0"/>
          <w:sz w:val="32"/>
          <w:szCs w:val="32"/>
          <w:lang w:val="en-US" w:eastAsia="zh-CN"/>
        </w:rPr>
        <w:t>各地应按中央和自治区有关规定，加快预算执行，对低于资金支出进度规定要求的地区，自治区采取收回、调整等方式用于支持资金执行进度快的地区，并进行约谈、通报。</w:t>
      </w:r>
    </w:p>
    <w:p>
      <w:pPr>
        <w:keepNext w:val="0"/>
        <w:keepLines w:val="0"/>
        <w:pageBreakBefore w:val="0"/>
        <w:widowControl w:val="0"/>
        <w:kinsoku/>
        <w:wordWrap/>
        <w:overflowPunct/>
        <w:topLinePunct w:val="0"/>
        <w:autoSpaceDE/>
        <w:autoSpaceDN/>
        <w:bidi w:val="0"/>
        <w:adjustRightInd/>
        <w:snapToGrid w:val="0"/>
        <w:spacing w:line="560" w:lineRule="exact"/>
        <w:ind w:firstLine="633" w:firstLineChars="197"/>
        <w:textAlignment w:val="auto"/>
        <w:rPr>
          <w:rFonts w:hint="eastAsia" w:ascii="CESI仿宋-GB2312" w:hAnsi="CESI仿宋-GB2312" w:eastAsia="CESI仿宋-GB2312" w:cs="CESI仿宋-GB2312"/>
          <w:b w:val="0"/>
          <w:bCs w:val="0"/>
          <w:sz w:val="32"/>
          <w:szCs w:val="32"/>
        </w:rPr>
      </w:pPr>
      <w:r>
        <w:rPr>
          <w:rFonts w:hint="eastAsia" w:ascii="仿宋_GB2312" w:hAnsi="仿宋_GB2312" w:eastAsia="仿宋_GB2312" w:cs="仿宋_GB2312"/>
          <w:b/>
          <w:bCs/>
          <w:sz w:val="32"/>
          <w:szCs w:val="32"/>
          <w:lang w:val="en-US" w:eastAsia="zh-CN"/>
        </w:rPr>
        <w:t xml:space="preserve">第十八条  </w:t>
      </w:r>
      <w:r>
        <w:rPr>
          <w:rFonts w:hint="eastAsia" w:ascii="仿宋_GB2312" w:hAnsi="仿宋_GB2312" w:eastAsia="仿宋_GB2312" w:cs="仿宋_GB2312"/>
          <w:b w:val="0"/>
          <w:bCs w:val="0"/>
          <w:sz w:val="32"/>
          <w:szCs w:val="32"/>
          <w:lang w:val="en-US" w:eastAsia="zh-CN"/>
        </w:rPr>
        <w:t>强化项目资产后续管理，衔接资金投入形成的项目资产参照扶贫项目资产管理要求，纳入现有制度框架管理。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eastAsia="zh-CN"/>
        </w:rPr>
        <w:t>第十九条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全面推行公开公示制度，</w:t>
      </w:r>
      <w:r>
        <w:rPr>
          <w:rFonts w:hint="eastAsia" w:ascii="CESI仿宋-GB2312" w:hAnsi="CESI仿宋-GB2312" w:eastAsia="CESI仿宋-GB2312" w:cs="CESI仿宋-GB2312"/>
          <w:sz w:val="32"/>
          <w:szCs w:val="32"/>
          <w:lang w:eastAsia="zh-CN"/>
        </w:rPr>
        <w:t>衔接资金政策文件、管理制度、资金分配结果等信息要按规定及时向社会公开，接受社会监督。</w:t>
      </w:r>
    </w:p>
    <w:p>
      <w:pPr>
        <w:keepNext w:val="0"/>
        <w:keepLines w:val="0"/>
        <w:pageBreakBefore w:val="0"/>
        <w:widowControl w:val="0"/>
        <w:kinsoku/>
        <w:wordWrap/>
        <w:overflowPunct/>
        <w:topLinePunct w:val="0"/>
        <w:autoSpaceDE/>
        <w:autoSpaceDN/>
        <w:bidi w:val="0"/>
        <w:adjustRightInd/>
        <w:spacing w:line="560" w:lineRule="exact"/>
        <w:ind w:firstLine="633" w:firstLineChars="197"/>
        <w:textAlignment w:val="auto"/>
        <w:rPr>
          <w:rFonts w:hint="eastAsia" w:ascii="CESI仿宋-GB2312" w:hAnsi="CESI仿宋-GB2312" w:eastAsia="CESI仿宋-GB2312" w:cs="CESI仿宋-GB2312"/>
          <w:b w:val="0"/>
          <w:bCs w:val="0"/>
          <w:sz w:val="32"/>
          <w:szCs w:val="32"/>
          <w:lang w:eastAsia="zh-CN"/>
        </w:rPr>
      </w:pPr>
      <w:r>
        <w:rPr>
          <w:rFonts w:hint="eastAsia" w:ascii="CESI仿宋-GB2312" w:hAnsi="CESI仿宋-GB2312" w:eastAsia="CESI仿宋-GB2312" w:cs="CESI仿宋-GB2312"/>
          <w:b/>
          <w:sz w:val="32"/>
          <w:szCs w:val="32"/>
        </w:rPr>
        <w:t>第</w:t>
      </w:r>
      <w:r>
        <w:rPr>
          <w:rFonts w:hint="eastAsia" w:ascii="CESI仿宋-GB2312" w:hAnsi="CESI仿宋-GB2312" w:eastAsia="CESI仿宋-GB2312" w:cs="CESI仿宋-GB2312"/>
          <w:b/>
          <w:sz w:val="32"/>
          <w:szCs w:val="32"/>
          <w:lang w:eastAsia="zh-CN"/>
        </w:rPr>
        <w:t>二十</w:t>
      </w:r>
      <w:r>
        <w:rPr>
          <w:rFonts w:hint="eastAsia" w:ascii="CESI仿宋-GB2312" w:hAnsi="CESI仿宋-GB2312" w:eastAsia="CESI仿宋-GB2312" w:cs="CESI仿宋-GB2312"/>
          <w:b/>
          <w:sz w:val="32"/>
          <w:szCs w:val="32"/>
        </w:rPr>
        <w:t xml:space="preserve">条 </w:t>
      </w:r>
      <w:r>
        <w:rPr>
          <w:rFonts w:hint="eastAsia" w:ascii="CESI仿宋-GB2312" w:hAnsi="CESI仿宋-GB2312" w:eastAsia="CESI仿宋-GB2312" w:cs="CESI仿宋-GB2312"/>
          <w:b/>
          <w:sz w:val="32"/>
          <w:szCs w:val="32"/>
          <w:lang w:val="en-US" w:eastAsia="zh-CN"/>
        </w:rPr>
        <w:t xml:space="preserve"> </w:t>
      </w:r>
      <w:r>
        <w:rPr>
          <w:rFonts w:hint="eastAsia" w:ascii="CESI仿宋-GB2312" w:hAnsi="CESI仿宋-GB2312" w:eastAsia="CESI仿宋-GB2312" w:cs="CESI仿宋-GB2312"/>
          <w:b w:val="0"/>
          <w:bCs w:val="0"/>
          <w:sz w:val="32"/>
          <w:szCs w:val="32"/>
          <w:lang w:eastAsia="zh-CN"/>
        </w:rPr>
        <w:t>各地应加强衔接资金和项目管理，按照全面实施预算绩效管理要求，压实绩效主体责任，建立健全全过程预算绩效管理机制，按规定科学合理设定项目绩效目标，强化绩效监控和评价，加强评价结果应用，提高资金配置效率和使用效益。</w:t>
      </w:r>
    </w:p>
    <w:p>
      <w:pPr>
        <w:keepNext w:val="0"/>
        <w:keepLines w:val="0"/>
        <w:pageBreakBefore w:val="0"/>
        <w:widowControl w:val="0"/>
        <w:kinsoku/>
        <w:wordWrap/>
        <w:overflowPunct/>
        <w:topLinePunct w:val="0"/>
        <w:autoSpaceDE/>
        <w:autoSpaceDN/>
        <w:bidi w:val="0"/>
        <w:adjustRightInd/>
        <w:spacing w:line="560" w:lineRule="exact"/>
        <w:ind w:firstLine="633" w:firstLineChars="197"/>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eastAsia="zh-CN"/>
        </w:rPr>
        <w:t>第二十一条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各级财政和行业主管部门按要求配合审计、纪检监察、检察机关做好衔接资金和项目的审计、检查等工作。各级财政和行业主管部门及其工作人员在衔接资金分配、使用管理等工作中，</w:t>
      </w:r>
      <w:r>
        <w:rPr>
          <w:rFonts w:hint="eastAsia" w:ascii="CESI仿宋-GB2312" w:hAnsi="CESI仿宋-GB2312" w:eastAsia="CESI仿宋-GB2312" w:cs="CESI仿宋-GB2312"/>
          <w:b w:val="0"/>
          <w:bCs w:val="0"/>
          <w:sz w:val="32"/>
          <w:szCs w:val="32"/>
          <w:lang w:eastAsia="zh-CN"/>
        </w:rPr>
        <w:t>严禁挤占挪用资金，</w:t>
      </w:r>
      <w:r>
        <w:rPr>
          <w:rFonts w:hint="eastAsia" w:ascii="CESI仿宋-GB2312" w:hAnsi="CESI仿宋-GB2312" w:eastAsia="CESI仿宋-GB2312" w:cs="CESI仿宋-GB2312"/>
          <w:sz w:val="32"/>
          <w:szCs w:val="32"/>
        </w:rPr>
        <w:t>存在违反本办法规定，以及滥用职权、玩忽职守、徇私舞弊等违法违纪行为的，按照国家有关规定追究相应责任；涉嫌犯罪的，移送有关国家机关处理。</w:t>
      </w:r>
    </w:p>
    <w:p>
      <w:pPr>
        <w:keepNext w:val="0"/>
        <w:keepLines w:val="0"/>
        <w:pageBreakBefore w:val="0"/>
        <w:widowControl w:val="0"/>
        <w:kinsoku/>
        <w:wordWrap/>
        <w:overflowPunct/>
        <w:topLinePunct w:val="0"/>
        <w:autoSpaceDE/>
        <w:autoSpaceDN/>
        <w:bidi w:val="0"/>
        <w:adjustRightInd/>
        <w:spacing w:line="560" w:lineRule="exact"/>
        <w:ind w:firstLine="630" w:firstLineChars="197"/>
        <w:textAlignment w:val="auto"/>
        <w:rPr>
          <w:rFonts w:hint="eastAsia" w:ascii="CESI仿宋-GB2312" w:hAnsi="CESI仿宋-GB2312" w:eastAsia="CESI仿宋-GB2312" w:cs="CESI仿宋-GB2312"/>
          <w:sz w:val="32"/>
          <w:szCs w:val="32"/>
        </w:rPr>
      </w:pPr>
    </w:p>
    <w:p>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0" w:firstLineChars="0"/>
        <w:jc w:val="center"/>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 xml:space="preserve"> 附  则</w:t>
      </w:r>
    </w:p>
    <w:p>
      <w:pPr>
        <w:numPr>
          <w:ilvl w:val="0"/>
          <w:numId w:val="0"/>
        </w:numPr>
        <w:spacing w:line="560" w:lineRule="exact"/>
        <w:ind w:leftChars="0"/>
        <w:jc w:val="both"/>
        <w:rPr>
          <w:rFonts w:hint="default" w:ascii="CESI仿宋-GB2312" w:hAnsi="CESI仿宋-GB2312" w:eastAsia="CESI仿宋-GB2312" w:cs="CESI仿宋-GB2312"/>
          <w:sz w:val="32"/>
          <w:szCs w:val="32"/>
          <w:lang w:val="en-US" w:eastAsia="zh-CN"/>
        </w:rPr>
      </w:pPr>
    </w:p>
    <w:p>
      <w:pPr>
        <w:snapToGrid w:val="0"/>
        <w:spacing w:line="560" w:lineRule="exact"/>
        <w:ind w:firstLine="633" w:firstLineChars="197"/>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sz w:val="32"/>
          <w:szCs w:val="32"/>
        </w:rPr>
        <w:t>第</w:t>
      </w:r>
      <w:r>
        <w:rPr>
          <w:rFonts w:hint="eastAsia" w:ascii="CESI仿宋-GB2312" w:hAnsi="CESI仿宋-GB2312" w:eastAsia="CESI仿宋-GB2312" w:cs="CESI仿宋-GB2312"/>
          <w:b/>
          <w:sz w:val="32"/>
          <w:szCs w:val="32"/>
          <w:lang w:eastAsia="zh-CN"/>
        </w:rPr>
        <w:t>二十二</w:t>
      </w:r>
      <w:r>
        <w:rPr>
          <w:rFonts w:hint="eastAsia" w:ascii="CESI仿宋-GB2312" w:hAnsi="CESI仿宋-GB2312" w:eastAsia="CESI仿宋-GB2312" w:cs="CESI仿宋-GB2312"/>
          <w:b/>
          <w:sz w:val="32"/>
          <w:szCs w:val="32"/>
        </w:rPr>
        <w:t>条</w:t>
      </w:r>
      <w:r>
        <w:rPr>
          <w:rFonts w:hint="eastAsia" w:ascii="CESI仿宋-GB2312" w:hAnsi="CESI仿宋-GB2312" w:eastAsia="CESI仿宋-GB2312" w:cs="CESI仿宋-GB2312"/>
          <w:b/>
          <w:sz w:val="32"/>
          <w:szCs w:val="32"/>
          <w:lang w:val="en-US" w:eastAsia="zh-CN"/>
        </w:rPr>
        <w:t xml:space="preserve">  </w:t>
      </w:r>
      <w:r>
        <w:rPr>
          <w:rFonts w:hint="eastAsia" w:ascii="CESI仿宋-GB2312" w:hAnsi="CESI仿宋-GB2312" w:eastAsia="CESI仿宋-GB2312" w:cs="CESI仿宋-GB2312"/>
          <w:sz w:val="32"/>
          <w:szCs w:val="32"/>
        </w:rPr>
        <w:t>各盟</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财政部门</w:t>
      </w:r>
      <w:r>
        <w:rPr>
          <w:rFonts w:hint="eastAsia" w:ascii="CESI仿宋-GB2312" w:hAnsi="CESI仿宋-GB2312" w:eastAsia="CESI仿宋-GB2312" w:cs="CESI仿宋-GB2312"/>
          <w:b w:val="0"/>
          <w:bCs w:val="0"/>
          <w:sz w:val="32"/>
          <w:szCs w:val="32"/>
          <w:lang w:eastAsia="zh-CN"/>
        </w:rPr>
        <w:t>要</w:t>
      </w:r>
      <w:r>
        <w:rPr>
          <w:rFonts w:hint="eastAsia" w:ascii="CESI仿宋-GB2312" w:hAnsi="CESI仿宋-GB2312" w:eastAsia="CESI仿宋-GB2312" w:cs="CESI仿宋-GB2312"/>
          <w:sz w:val="32"/>
          <w:szCs w:val="32"/>
        </w:rPr>
        <w:t>会同行业主管部门，根据本办法制定具体</w:t>
      </w:r>
      <w:r>
        <w:rPr>
          <w:rFonts w:hint="eastAsia" w:ascii="CESI仿宋-GB2312" w:hAnsi="CESI仿宋-GB2312" w:eastAsia="CESI仿宋-GB2312" w:cs="CESI仿宋-GB2312"/>
          <w:sz w:val="32"/>
          <w:szCs w:val="32"/>
          <w:lang w:eastAsia="zh-CN"/>
        </w:rPr>
        <w:t>衔接</w:t>
      </w:r>
      <w:r>
        <w:rPr>
          <w:rFonts w:hint="eastAsia" w:ascii="CESI仿宋-GB2312" w:hAnsi="CESI仿宋-GB2312" w:eastAsia="CESI仿宋-GB2312" w:cs="CESI仿宋-GB2312"/>
          <w:sz w:val="32"/>
          <w:szCs w:val="32"/>
        </w:rPr>
        <w:t>资金管理办法</w:t>
      </w:r>
      <w:r>
        <w:rPr>
          <w:rFonts w:hint="eastAsia" w:ascii="CESI仿宋-GB2312" w:hAnsi="CESI仿宋-GB2312" w:eastAsia="CESI仿宋-GB2312" w:cs="CESI仿宋-GB2312"/>
          <w:sz w:val="32"/>
          <w:szCs w:val="32"/>
          <w:lang w:eastAsia="zh-CN"/>
        </w:rPr>
        <w:t>（细则）</w:t>
      </w:r>
      <w:r>
        <w:rPr>
          <w:rFonts w:hint="eastAsia" w:ascii="CESI仿宋-GB2312" w:hAnsi="CESI仿宋-GB2312" w:eastAsia="CESI仿宋-GB2312" w:cs="CESI仿宋-GB2312"/>
          <w:sz w:val="32"/>
          <w:szCs w:val="32"/>
        </w:rPr>
        <w:t>。</w:t>
      </w:r>
    </w:p>
    <w:p>
      <w:pPr>
        <w:spacing w:line="560" w:lineRule="exact"/>
        <w:ind w:firstLine="575" w:firstLineChars="179"/>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b/>
          <w:sz w:val="32"/>
          <w:szCs w:val="32"/>
        </w:rPr>
        <w:t>第</w:t>
      </w:r>
      <w:r>
        <w:rPr>
          <w:rFonts w:hint="eastAsia" w:ascii="CESI仿宋-GB2312" w:hAnsi="CESI仿宋-GB2312" w:eastAsia="CESI仿宋-GB2312" w:cs="CESI仿宋-GB2312"/>
          <w:b/>
          <w:sz w:val="32"/>
          <w:szCs w:val="32"/>
          <w:lang w:eastAsia="zh-CN"/>
        </w:rPr>
        <w:t>二十三</w:t>
      </w:r>
      <w:r>
        <w:rPr>
          <w:rFonts w:hint="eastAsia" w:ascii="CESI仿宋-GB2312" w:hAnsi="CESI仿宋-GB2312" w:eastAsia="CESI仿宋-GB2312" w:cs="CESI仿宋-GB2312"/>
          <w:b/>
          <w:sz w:val="32"/>
          <w:szCs w:val="32"/>
        </w:rPr>
        <w:t>条</w:t>
      </w:r>
      <w:r>
        <w:rPr>
          <w:rFonts w:hint="eastAsia" w:ascii="CESI仿宋-GB2312" w:hAnsi="CESI仿宋-GB2312" w:eastAsia="CESI仿宋-GB2312" w:cs="CESI仿宋-GB2312"/>
          <w:b/>
          <w:sz w:val="32"/>
          <w:szCs w:val="32"/>
          <w:lang w:val="en-US" w:eastAsia="zh-CN"/>
        </w:rPr>
        <w:t xml:space="preserve">  </w:t>
      </w:r>
      <w:r>
        <w:rPr>
          <w:rFonts w:hint="eastAsia" w:ascii="CESI仿宋-GB2312" w:hAnsi="CESI仿宋-GB2312" w:eastAsia="CESI仿宋-GB2312" w:cs="CESI仿宋-GB2312"/>
          <w:sz w:val="32"/>
          <w:szCs w:val="32"/>
        </w:rPr>
        <w:t>本办法自印发之日</w:t>
      </w:r>
      <w:r>
        <w:rPr>
          <w:rFonts w:hint="eastAsia" w:ascii="CESI仿宋-GB2312" w:hAnsi="CESI仿宋-GB2312" w:eastAsia="CESI仿宋-GB2312" w:cs="CESI仿宋-GB2312"/>
          <w:b w:val="0"/>
          <w:bCs w:val="0"/>
          <w:sz w:val="32"/>
          <w:szCs w:val="32"/>
        </w:rPr>
        <w:t>起</w:t>
      </w:r>
      <w:r>
        <w:rPr>
          <w:rFonts w:hint="eastAsia" w:ascii="CESI仿宋-GB2312" w:hAnsi="CESI仿宋-GB2312" w:eastAsia="CESI仿宋-GB2312" w:cs="CESI仿宋-GB2312"/>
          <w:b w:val="0"/>
          <w:bCs w:val="0"/>
          <w:sz w:val="32"/>
          <w:szCs w:val="32"/>
          <w:lang w:val="en-US" w:eastAsia="zh-CN"/>
        </w:rPr>
        <w:t>30日后</w:t>
      </w:r>
      <w:r>
        <w:rPr>
          <w:rFonts w:hint="eastAsia" w:ascii="CESI仿宋-GB2312" w:hAnsi="CESI仿宋-GB2312" w:eastAsia="CESI仿宋-GB2312" w:cs="CESI仿宋-GB2312"/>
          <w:b w:val="0"/>
          <w:bCs w:val="0"/>
          <w:sz w:val="32"/>
          <w:szCs w:val="32"/>
        </w:rPr>
        <w:t>施行，</w:t>
      </w:r>
      <w:r>
        <w:rPr>
          <w:rFonts w:hint="eastAsia" w:ascii="CESI仿宋-GB2312" w:hAnsi="CESI仿宋-GB2312" w:eastAsia="CESI仿宋-GB2312" w:cs="CESI仿宋-GB2312"/>
          <w:sz w:val="32"/>
          <w:szCs w:val="32"/>
        </w:rPr>
        <w:t>由自治区财政厅会同行业主管部门负责解释</w:t>
      </w:r>
      <w:r>
        <w:rPr>
          <w:rFonts w:hint="eastAsia" w:ascii="CESI仿宋-GB2312" w:hAnsi="CESI仿宋-GB2312" w:eastAsia="CESI仿宋-GB2312" w:cs="CESI仿宋-GB2312"/>
          <w:sz w:val="32"/>
          <w:szCs w:val="32"/>
          <w:lang w:eastAsia="zh-CN"/>
        </w:rPr>
        <w:t>。</w:t>
      </w:r>
    </w:p>
    <w:p>
      <w:pPr>
        <w:spacing w:line="560" w:lineRule="exact"/>
        <w:ind w:firstLine="575" w:firstLineChars="179"/>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eastAsia="zh-CN"/>
        </w:rPr>
        <w:t>第二十四条</w:t>
      </w:r>
      <w:r>
        <w:rPr>
          <w:rFonts w:hint="eastAsia" w:ascii="CESI仿宋-GB2312" w:hAnsi="CESI仿宋-GB2312" w:eastAsia="CESI仿宋-GB2312" w:cs="CESI仿宋-GB2312"/>
          <w:sz w:val="32"/>
          <w:szCs w:val="32"/>
          <w:lang w:val="en-US" w:eastAsia="zh-CN"/>
        </w:rPr>
        <w:t xml:space="preserve">  本办法施行之日起，</w:t>
      </w:r>
      <w:r>
        <w:rPr>
          <w:rFonts w:hint="eastAsia" w:ascii="CESI仿宋-GB2312" w:hAnsi="CESI仿宋-GB2312" w:eastAsia="CESI仿宋-GB2312" w:cs="CESI仿宋-GB2312"/>
          <w:sz w:val="32"/>
          <w:szCs w:val="32"/>
        </w:rPr>
        <w:t xml:space="preserve">《内蒙古自治区财政厅 </w:t>
      </w:r>
      <w:r>
        <w:rPr>
          <w:rFonts w:hint="eastAsia" w:ascii="CESI仿宋-GB2312" w:hAnsi="CESI仿宋-GB2312" w:eastAsia="CESI仿宋-GB2312" w:cs="CESI仿宋-GB2312"/>
          <w:sz w:val="32"/>
          <w:szCs w:val="32"/>
          <w:lang w:eastAsia="zh-CN"/>
        </w:rPr>
        <w:t>乡村振兴局</w:t>
      </w:r>
      <w:r>
        <w:rPr>
          <w:rFonts w:hint="eastAsia" w:ascii="CESI仿宋-GB2312" w:hAnsi="CESI仿宋-GB2312" w:eastAsia="CESI仿宋-GB2312" w:cs="CESI仿宋-GB2312"/>
          <w:sz w:val="32"/>
          <w:szCs w:val="32"/>
        </w:rPr>
        <w:t xml:space="preserve"> 发展改革委 民委 农牧厅 </w:t>
      </w:r>
      <w:r>
        <w:rPr>
          <w:rFonts w:hint="eastAsia" w:ascii="CESI仿宋-GB2312" w:hAnsi="CESI仿宋-GB2312" w:eastAsia="CESI仿宋-GB2312" w:cs="CESI仿宋-GB2312"/>
          <w:sz w:val="32"/>
          <w:szCs w:val="32"/>
          <w:lang w:eastAsia="zh-CN"/>
        </w:rPr>
        <w:t>林业和草原局</w:t>
      </w:r>
      <w:r>
        <w:rPr>
          <w:rFonts w:hint="eastAsia" w:ascii="CESI仿宋-GB2312" w:hAnsi="CESI仿宋-GB2312" w:eastAsia="CESI仿宋-GB2312" w:cs="CESI仿宋-GB2312"/>
          <w:sz w:val="32"/>
          <w:szCs w:val="32"/>
        </w:rPr>
        <w:t>关于印发&lt;内蒙古自治区财政</w:t>
      </w:r>
      <w:r>
        <w:rPr>
          <w:rFonts w:hint="eastAsia" w:ascii="CESI仿宋-GB2312" w:hAnsi="CESI仿宋-GB2312" w:eastAsia="CESI仿宋-GB2312" w:cs="CESI仿宋-GB2312"/>
          <w:sz w:val="32"/>
          <w:szCs w:val="32"/>
          <w:lang w:eastAsia="zh-CN"/>
        </w:rPr>
        <w:t>衔接推进乡村振兴补助</w:t>
      </w:r>
      <w:r>
        <w:rPr>
          <w:rFonts w:hint="eastAsia" w:ascii="CESI仿宋-GB2312" w:hAnsi="CESI仿宋-GB2312" w:eastAsia="CESI仿宋-GB2312" w:cs="CESI仿宋-GB2312"/>
          <w:sz w:val="32"/>
          <w:szCs w:val="32"/>
        </w:rPr>
        <w:t>资金管理办法&gt;的通知》（内财农规〔</w:t>
      </w:r>
      <w:r>
        <w:rPr>
          <w:rFonts w:hint="eastAsia" w:ascii="CESI仿宋-GB2312" w:hAnsi="CESI仿宋-GB2312" w:eastAsia="CESI仿宋-GB2312" w:cs="CESI仿宋-GB2312"/>
          <w:sz w:val="32"/>
          <w:szCs w:val="32"/>
          <w:lang w:val="en-US" w:eastAsia="zh-CN"/>
        </w:rPr>
        <w:t>2021</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8</w:t>
      </w:r>
      <w:r>
        <w:rPr>
          <w:rFonts w:hint="eastAsia" w:ascii="CESI仿宋-GB2312" w:hAnsi="CESI仿宋-GB2312" w:eastAsia="CESI仿宋-GB2312" w:cs="CESI仿宋-GB2312"/>
          <w:sz w:val="32"/>
          <w:szCs w:val="32"/>
        </w:rPr>
        <w:t>号）</w:t>
      </w:r>
      <w:r>
        <w:rPr>
          <w:rFonts w:hint="eastAsia" w:ascii="CESI仿宋-GB2312" w:hAnsi="CESI仿宋-GB2312" w:eastAsia="CESI仿宋-GB2312" w:cs="CESI仿宋-GB2312"/>
          <w:sz w:val="32"/>
          <w:szCs w:val="32"/>
          <w:lang w:eastAsia="zh-CN"/>
        </w:rPr>
        <w:t>同时</w:t>
      </w:r>
      <w:r>
        <w:rPr>
          <w:rFonts w:hint="eastAsia" w:ascii="CESI仿宋-GB2312" w:hAnsi="CESI仿宋-GB2312" w:eastAsia="CESI仿宋-GB2312" w:cs="CESI仿宋-GB2312"/>
          <w:sz w:val="32"/>
          <w:szCs w:val="32"/>
        </w:rPr>
        <w:t>废止。</w:t>
      </w:r>
    </w:p>
    <w:p>
      <w:pPr>
        <w:spacing w:line="560" w:lineRule="exact"/>
        <w:ind w:firstLine="640" w:firstLineChars="200"/>
        <w:rPr>
          <w:rFonts w:hint="eastAsia" w:ascii="CESI仿宋-GB2312" w:hAnsi="CESI仿宋-GB2312" w:eastAsia="CESI仿宋-GB2312" w:cs="CESI仿宋-GB2312"/>
          <w:sz w:val="32"/>
          <w:szCs w:val="32"/>
        </w:rPr>
      </w:pP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附</w:t>
      </w:r>
      <w:r>
        <w:rPr>
          <w:rFonts w:hint="eastAsia" w:ascii="CESI仿宋-GB2312" w:hAnsi="CESI仿宋-GB2312" w:eastAsia="CESI仿宋-GB2312" w:cs="CESI仿宋-GB2312"/>
          <w:sz w:val="32"/>
          <w:szCs w:val="32"/>
          <w:lang w:eastAsia="zh-CN"/>
        </w:rPr>
        <w:t>件</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7</w:t>
      </w:r>
      <w:r>
        <w:rPr>
          <w:rFonts w:hint="eastAsia" w:ascii="CESI仿宋-GB2312" w:hAnsi="CESI仿宋-GB2312" w:eastAsia="CESI仿宋-GB2312" w:cs="CESI仿宋-GB2312"/>
          <w:sz w:val="32"/>
          <w:szCs w:val="32"/>
        </w:rPr>
        <w:t>项任务具体测算指标</w:t>
      </w:r>
    </w:p>
    <w:p>
      <w:pPr>
        <w:rPr>
          <w:rFonts w:hint="eastAsia" w:ascii="CESI仿宋-GB2312" w:hAnsi="CESI仿宋-GB2312" w:eastAsia="CESI仿宋-GB2312" w:cs="CESI仿宋-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7E009"/>
    <w:multiLevelType w:val="singleLevel"/>
    <w:tmpl w:val="D6F7E00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jE5ODg3MjJlMGViN2M4NjBmNTcwMThjOGM2NDcifQ=="/>
  </w:docVars>
  <w:rsids>
    <w:rsidRoot w:val="4B2D6CD7"/>
    <w:rsid w:val="4B2D6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2022-05-30T01:27:00Z</dcterms:created>
  <dc:creator>刘佳璐</dc:creator>
  <cp:lastModifiedBy>刘佳璐</cp:lastModifiedBy>
  <dcterms:modified xsi:type="dcterms:W3CDTF">2022-05-30T01:28:16Z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5A577C29B46D42A48AE79A588509726C</vt:lpwstr>
  </property>
</Properties>
</file>